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9535" w14:textId="43421CD0" w:rsidR="00350CFD" w:rsidRPr="00350CFD" w:rsidRDefault="00350CFD" w:rsidP="00350CFD">
      <w:pPr>
        <w:spacing w:after="0" w:line="240" w:lineRule="auto"/>
        <w:jc w:val="center"/>
        <w:rPr>
          <w:rFonts w:ascii="Arial" w:eastAsia="Arial" w:hAnsi="Arial" w:cs="Arial"/>
          <w:b/>
          <w:u w:val="single"/>
        </w:rPr>
      </w:pPr>
      <w:r>
        <w:rPr>
          <w:rFonts w:ascii="Arial" w:eastAsia="Arial" w:hAnsi="Arial" w:cs="Arial"/>
          <w:b/>
          <w:u w:val="single"/>
        </w:rPr>
        <w:t>I</w:t>
      </w:r>
      <w:r w:rsidRPr="00350CFD">
        <w:rPr>
          <w:rFonts w:ascii="Arial" w:eastAsia="Arial" w:hAnsi="Arial" w:cs="Arial"/>
          <w:b/>
          <w:u w:val="single"/>
        </w:rPr>
        <w:t>nforme</w:t>
      </w:r>
      <w:r>
        <w:rPr>
          <w:rFonts w:ascii="Arial" w:eastAsia="Arial" w:hAnsi="Arial" w:cs="Arial"/>
          <w:b/>
          <w:u w:val="single"/>
        </w:rPr>
        <w:t xml:space="preserve"> </w:t>
      </w:r>
      <w:r w:rsidRPr="00350CFD">
        <w:rPr>
          <w:rFonts w:ascii="Arial" w:eastAsia="Arial" w:hAnsi="Arial" w:cs="Arial"/>
          <w:b/>
          <w:u w:val="single"/>
        </w:rPr>
        <w:t>de cumplimiento de compromisos de</w:t>
      </w:r>
    </w:p>
    <w:p w14:paraId="3725CD0F" w14:textId="1674AD12" w:rsidR="00AD7473" w:rsidRDefault="00350CFD" w:rsidP="00350CFD">
      <w:pPr>
        <w:spacing w:after="0" w:line="240" w:lineRule="auto"/>
        <w:jc w:val="center"/>
        <w:rPr>
          <w:rFonts w:ascii="Arial" w:eastAsia="Arial" w:hAnsi="Arial" w:cs="Arial"/>
          <w:b/>
          <w:u w:val="single"/>
        </w:rPr>
      </w:pPr>
      <w:r w:rsidRPr="00350CFD">
        <w:rPr>
          <w:rFonts w:ascii="Arial" w:eastAsia="Arial" w:hAnsi="Arial" w:cs="Arial"/>
          <w:b/>
          <w:u w:val="single"/>
        </w:rPr>
        <w:t>información</w:t>
      </w:r>
      <w:r>
        <w:rPr>
          <w:rFonts w:ascii="Arial" w:eastAsia="Arial" w:hAnsi="Arial" w:cs="Arial"/>
          <w:b/>
          <w:u w:val="single"/>
        </w:rPr>
        <w:t xml:space="preserve"> – Ley de Presupuestos 2025</w:t>
      </w:r>
      <w:r w:rsidR="002C0A00">
        <w:rPr>
          <w:rFonts w:ascii="Arial" w:eastAsia="Arial" w:hAnsi="Arial" w:cs="Arial"/>
          <w:b/>
          <w:u w:val="single"/>
        </w:rPr>
        <w:t xml:space="preserve"> – </w:t>
      </w:r>
      <w:r w:rsidR="007C5ABB">
        <w:rPr>
          <w:rFonts w:ascii="Arial" w:eastAsia="Arial" w:hAnsi="Arial" w:cs="Arial"/>
          <w:b/>
          <w:u w:val="single"/>
        </w:rPr>
        <w:t>Cuarto</w:t>
      </w:r>
      <w:r w:rsidR="002C0A00">
        <w:rPr>
          <w:rFonts w:ascii="Arial" w:eastAsia="Arial" w:hAnsi="Arial" w:cs="Arial"/>
          <w:b/>
          <w:u w:val="single"/>
        </w:rPr>
        <w:t xml:space="preserve"> Trimestre 2025</w:t>
      </w:r>
    </w:p>
    <w:p w14:paraId="4038809B" w14:textId="77777777" w:rsidR="00AD7473" w:rsidRDefault="00AD7473">
      <w:pPr>
        <w:spacing w:after="0" w:line="240" w:lineRule="auto"/>
        <w:jc w:val="center"/>
        <w:rPr>
          <w:rFonts w:ascii="Arial" w:eastAsia="Arial" w:hAnsi="Arial" w:cs="Arial"/>
          <w:b/>
          <w:u w:val="single"/>
        </w:rPr>
      </w:pPr>
    </w:p>
    <w:p w14:paraId="52AA9113" w14:textId="77777777" w:rsidR="00AD7473" w:rsidRDefault="00AD7473">
      <w:pPr>
        <w:spacing w:after="0" w:line="240" w:lineRule="auto"/>
        <w:rPr>
          <w:rFonts w:ascii="Arial" w:eastAsia="Arial" w:hAnsi="Arial" w:cs="Arial"/>
        </w:rPr>
      </w:pPr>
    </w:p>
    <w:p w14:paraId="748C6CC7" w14:textId="54833E4D" w:rsidR="00AD7473" w:rsidRDefault="00A268D8">
      <w:pPr>
        <w:spacing w:after="0" w:line="240" w:lineRule="auto"/>
        <w:jc w:val="right"/>
        <w:rPr>
          <w:rFonts w:ascii="Arial" w:eastAsia="Arial" w:hAnsi="Arial" w:cs="Arial"/>
        </w:rPr>
      </w:pPr>
      <w:r>
        <w:rPr>
          <w:rFonts w:ascii="Arial" w:eastAsia="Arial" w:hAnsi="Arial" w:cs="Arial"/>
        </w:rPr>
        <w:t>Santiago</w:t>
      </w:r>
      <w:r w:rsidR="004B65FD">
        <w:rPr>
          <w:rFonts w:ascii="Arial" w:eastAsia="Arial" w:hAnsi="Arial" w:cs="Arial"/>
        </w:rPr>
        <w:t>,</w:t>
      </w:r>
      <w:r>
        <w:rPr>
          <w:rFonts w:ascii="Arial" w:eastAsia="Arial" w:hAnsi="Arial" w:cs="Arial"/>
        </w:rPr>
        <w:t xml:space="preserve"> </w:t>
      </w:r>
      <w:r w:rsidR="00FF5016">
        <w:rPr>
          <w:rFonts w:ascii="Arial" w:eastAsia="Arial" w:hAnsi="Arial" w:cs="Arial"/>
        </w:rPr>
        <w:t>15</w:t>
      </w:r>
      <w:r w:rsidR="00350CFD">
        <w:rPr>
          <w:rFonts w:ascii="Arial" w:eastAsia="Arial" w:hAnsi="Arial" w:cs="Arial"/>
        </w:rPr>
        <w:t xml:space="preserve"> de </w:t>
      </w:r>
      <w:r w:rsidR="007C5ABB">
        <w:rPr>
          <w:rFonts w:ascii="Arial" w:eastAsia="Arial" w:hAnsi="Arial" w:cs="Arial"/>
        </w:rPr>
        <w:t>Enero</w:t>
      </w:r>
      <w:r w:rsidR="00357B37">
        <w:rPr>
          <w:rFonts w:ascii="Arial" w:eastAsia="Arial" w:hAnsi="Arial" w:cs="Arial"/>
        </w:rPr>
        <w:t xml:space="preserve"> </w:t>
      </w:r>
      <w:r w:rsidR="002017E0">
        <w:rPr>
          <w:rFonts w:ascii="Arial" w:eastAsia="Arial" w:hAnsi="Arial" w:cs="Arial"/>
        </w:rPr>
        <w:t>de 2025</w:t>
      </w:r>
    </w:p>
    <w:p w14:paraId="4E86F1D0" w14:textId="77777777" w:rsidR="00E0354C" w:rsidRDefault="00E0354C">
      <w:pPr>
        <w:spacing w:after="0" w:line="240" w:lineRule="auto"/>
        <w:jc w:val="right"/>
        <w:rPr>
          <w:rFonts w:ascii="Arial" w:eastAsia="Arial" w:hAnsi="Arial" w:cs="Arial"/>
        </w:rPr>
      </w:pPr>
    </w:p>
    <w:p w14:paraId="16072407" w14:textId="1CC1923E" w:rsidR="00CF1E24" w:rsidRDefault="00350CFD" w:rsidP="007A5DE1">
      <w:pPr>
        <w:keepNext/>
        <w:keepLines/>
        <w:spacing w:before="120" w:after="0"/>
        <w:jc w:val="both"/>
        <w:rPr>
          <w:rFonts w:ascii="Arial" w:eastAsia="Arial" w:hAnsi="Arial" w:cs="Arial"/>
          <w:bCs/>
        </w:rPr>
      </w:pPr>
      <w:r>
        <w:rPr>
          <w:rFonts w:ascii="Arial" w:eastAsia="Arial" w:hAnsi="Arial" w:cs="Arial"/>
          <w:bCs/>
        </w:rPr>
        <w:t xml:space="preserve">El </w:t>
      </w:r>
      <w:r w:rsidR="00A13422" w:rsidRPr="00350CFD">
        <w:rPr>
          <w:rFonts w:ascii="Arial" w:eastAsia="Arial" w:hAnsi="Arial" w:cs="Arial"/>
          <w:bCs/>
        </w:rPr>
        <w:t xml:space="preserve">presente </w:t>
      </w:r>
      <w:r>
        <w:rPr>
          <w:rFonts w:ascii="Arial" w:eastAsia="Arial" w:hAnsi="Arial" w:cs="Arial"/>
          <w:bCs/>
        </w:rPr>
        <w:t xml:space="preserve">informe </w:t>
      </w:r>
      <w:r w:rsidR="00A13422" w:rsidRPr="00350CFD">
        <w:rPr>
          <w:rFonts w:ascii="Arial" w:eastAsia="Arial" w:hAnsi="Arial" w:cs="Arial"/>
          <w:bCs/>
        </w:rPr>
        <w:t xml:space="preserve">tiene por </w:t>
      </w:r>
      <w:r>
        <w:rPr>
          <w:rFonts w:ascii="Arial" w:eastAsia="Arial" w:hAnsi="Arial" w:cs="Arial"/>
          <w:bCs/>
        </w:rPr>
        <w:t xml:space="preserve">objetivo </w:t>
      </w:r>
      <w:r w:rsidR="00A13422" w:rsidRPr="00350CFD">
        <w:rPr>
          <w:rFonts w:ascii="Arial" w:eastAsia="Arial" w:hAnsi="Arial" w:cs="Arial"/>
          <w:bCs/>
        </w:rPr>
        <w:t xml:space="preserve">dar respuesta a lo requerido </w:t>
      </w:r>
      <w:r w:rsidRPr="00350CFD">
        <w:rPr>
          <w:rFonts w:ascii="Arial" w:eastAsia="Arial" w:hAnsi="Arial" w:cs="Arial"/>
          <w:bCs/>
        </w:rPr>
        <w:t xml:space="preserve">mediante Oficio N°26, </w:t>
      </w:r>
      <w:r>
        <w:rPr>
          <w:rFonts w:ascii="Arial" w:eastAsia="Arial" w:hAnsi="Arial" w:cs="Arial"/>
          <w:bCs/>
        </w:rPr>
        <w:t xml:space="preserve">de 20 de enero de 2025, </w:t>
      </w:r>
      <w:r w:rsidRPr="00350CFD">
        <w:rPr>
          <w:rFonts w:ascii="Arial" w:eastAsia="Arial" w:hAnsi="Arial" w:cs="Arial"/>
          <w:bCs/>
        </w:rPr>
        <w:t xml:space="preserve">de </w:t>
      </w:r>
      <w:r w:rsidR="00A13422" w:rsidRPr="00350CFD">
        <w:rPr>
          <w:rFonts w:ascii="Arial" w:eastAsia="Arial" w:hAnsi="Arial" w:cs="Arial"/>
          <w:bCs/>
        </w:rPr>
        <w:t xml:space="preserve">la Dirección de </w:t>
      </w:r>
      <w:r w:rsidRPr="00350CFD">
        <w:rPr>
          <w:rFonts w:ascii="Arial" w:eastAsia="Arial" w:hAnsi="Arial" w:cs="Arial"/>
          <w:bCs/>
        </w:rPr>
        <w:t>Planeamiento</w:t>
      </w:r>
      <w:r w:rsidR="00A13422" w:rsidRPr="00350CFD">
        <w:rPr>
          <w:rFonts w:ascii="Arial" w:eastAsia="Arial" w:hAnsi="Arial" w:cs="Arial"/>
          <w:bCs/>
        </w:rPr>
        <w:t xml:space="preserve">, </w:t>
      </w:r>
      <w:r>
        <w:rPr>
          <w:rFonts w:ascii="Arial" w:eastAsia="Arial" w:hAnsi="Arial" w:cs="Arial"/>
          <w:bCs/>
        </w:rPr>
        <w:t>y que entrega i</w:t>
      </w:r>
      <w:r w:rsidRPr="00350CFD">
        <w:rPr>
          <w:rFonts w:ascii="Arial" w:eastAsia="Arial" w:hAnsi="Arial" w:cs="Arial"/>
          <w:bCs/>
        </w:rPr>
        <w:t>nstrucciones para la revisión y elaboración</w:t>
      </w:r>
      <w:r>
        <w:rPr>
          <w:rFonts w:ascii="Arial" w:eastAsia="Arial" w:hAnsi="Arial" w:cs="Arial"/>
          <w:bCs/>
        </w:rPr>
        <w:t xml:space="preserve"> </w:t>
      </w:r>
      <w:r w:rsidRPr="00350CFD">
        <w:rPr>
          <w:rFonts w:ascii="Arial" w:eastAsia="Arial" w:hAnsi="Arial" w:cs="Arial"/>
          <w:bCs/>
        </w:rPr>
        <w:t>de informes de avance, en cumplimiento</w:t>
      </w:r>
      <w:r>
        <w:rPr>
          <w:rFonts w:ascii="Arial" w:eastAsia="Arial" w:hAnsi="Arial" w:cs="Arial"/>
          <w:bCs/>
        </w:rPr>
        <w:t xml:space="preserve"> </w:t>
      </w:r>
      <w:r w:rsidRPr="00350CFD">
        <w:rPr>
          <w:rFonts w:ascii="Arial" w:eastAsia="Arial" w:hAnsi="Arial" w:cs="Arial"/>
          <w:bCs/>
        </w:rPr>
        <w:t xml:space="preserve">de </w:t>
      </w:r>
      <w:r>
        <w:rPr>
          <w:rFonts w:ascii="Arial" w:eastAsia="Arial" w:hAnsi="Arial" w:cs="Arial"/>
          <w:bCs/>
        </w:rPr>
        <w:t>g</w:t>
      </w:r>
      <w:r w:rsidRPr="00350CFD">
        <w:rPr>
          <w:rFonts w:ascii="Arial" w:eastAsia="Arial" w:hAnsi="Arial" w:cs="Arial"/>
          <w:bCs/>
        </w:rPr>
        <w:t xml:space="preserve">losas y </w:t>
      </w:r>
      <w:r>
        <w:rPr>
          <w:rFonts w:ascii="Arial" w:eastAsia="Arial" w:hAnsi="Arial" w:cs="Arial"/>
          <w:bCs/>
        </w:rPr>
        <w:t>a</w:t>
      </w:r>
      <w:r w:rsidRPr="00350CFD">
        <w:rPr>
          <w:rFonts w:ascii="Arial" w:eastAsia="Arial" w:hAnsi="Arial" w:cs="Arial"/>
          <w:bCs/>
        </w:rPr>
        <w:t xml:space="preserve">rticulado </w:t>
      </w:r>
      <w:r>
        <w:rPr>
          <w:rFonts w:ascii="Arial" w:eastAsia="Arial" w:hAnsi="Arial" w:cs="Arial"/>
          <w:bCs/>
        </w:rPr>
        <w:t xml:space="preserve">de la </w:t>
      </w:r>
      <w:r w:rsidRPr="00350CFD">
        <w:rPr>
          <w:rFonts w:ascii="Arial" w:eastAsia="Arial" w:hAnsi="Arial" w:cs="Arial"/>
          <w:bCs/>
        </w:rPr>
        <w:t>Ley de Presupuestos</w:t>
      </w:r>
      <w:r>
        <w:rPr>
          <w:rFonts w:ascii="Arial" w:eastAsia="Arial" w:hAnsi="Arial" w:cs="Arial"/>
          <w:bCs/>
        </w:rPr>
        <w:t xml:space="preserve"> </w:t>
      </w:r>
      <w:r w:rsidRPr="00350CFD">
        <w:rPr>
          <w:rFonts w:ascii="Arial" w:eastAsia="Arial" w:hAnsi="Arial" w:cs="Arial"/>
          <w:bCs/>
        </w:rPr>
        <w:t>MOP 2025</w:t>
      </w:r>
      <w:r>
        <w:rPr>
          <w:rFonts w:ascii="Arial" w:eastAsia="Arial" w:hAnsi="Arial" w:cs="Arial"/>
          <w:bCs/>
        </w:rPr>
        <w:t>.</w:t>
      </w:r>
    </w:p>
    <w:p w14:paraId="63F2EA8B" w14:textId="77777777" w:rsidR="00FB7DF8" w:rsidRDefault="00FB7DF8" w:rsidP="007A5DE1">
      <w:pPr>
        <w:pStyle w:val="Prrafodelista"/>
        <w:keepNext/>
        <w:keepLines/>
        <w:spacing w:before="120" w:after="0"/>
        <w:ind w:left="0"/>
        <w:jc w:val="both"/>
        <w:rPr>
          <w:rFonts w:ascii="Arial" w:eastAsia="Arial" w:hAnsi="Arial" w:cs="Arial"/>
          <w:bCs/>
        </w:rPr>
      </w:pPr>
    </w:p>
    <w:p w14:paraId="3D1167BB" w14:textId="344EF9D1" w:rsidR="00350CFD" w:rsidRDefault="00350CFD" w:rsidP="007A5DE1">
      <w:pPr>
        <w:pStyle w:val="Prrafodelista"/>
        <w:keepNext/>
        <w:keepLines/>
        <w:spacing w:before="120" w:after="0"/>
        <w:ind w:left="0"/>
        <w:jc w:val="both"/>
        <w:rPr>
          <w:rFonts w:ascii="Arial" w:eastAsia="Arial" w:hAnsi="Arial" w:cs="Arial"/>
          <w:bCs/>
        </w:rPr>
      </w:pPr>
      <w:r>
        <w:rPr>
          <w:rFonts w:ascii="Arial" w:eastAsia="Arial" w:hAnsi="Arial" w:cs="Arial"/>
          <w:bCs/>
        </w:rPr>
        <w:t>A continuación, se entrega información sobre los siguientes compromisos</w:t>
      </w:r>
      <w:r w:rsidR="002C0A00">
        <w:rPr>
          <w:rFonts w:ascii="Arial" w:eastAsia="Arial" w:hAnsi="Arial" w:cs="Arial"/>
          <w:bCs/>
        </w:rPr>
        <w:t xml:space="preserve"> de la Dirección General de Concesiones (DGC)</w:t>
      </w:r>
      <w:r>
        <w:rPr>
          <w:rFonts w:ascii="Arial" w:eastAsia="Arial" w:hAnsi="Arial" w:cs="Arial"/>
          <w:bCs/>
        </w:rPr>
        <w:t>, establecidos en las glosas que se indican:</w:t>
      </w:r>
    </w:p>
    <w:p w14:paraId="073BCF6B" w14:textId="77777777" w:rsidR="00350CFD" w:rsidRPr="002C0A00" w:rsidRDefault="00350CFD" w:rsidP="007A5DE1">
      <w:pPr>
        <w:pStyle w:val="Prrafodelista"/>
        <w:keepNext/>
        <w:keepLines/>
        <w:spacing w:before="120" w:after="0"/>
        <w:ind w:left="0"/>
        <w:jc w:val="both"/>
        <w:rPr>
          <w:rFonts w:ascii="Arial" w:eastAsia="Arial" w:hAnsi="Arial" w:cs="Arial"/>
          <w:b/>
          <w:u w:val="single"/>
        </w:rPr>
      </w:pPr>
    </w:p>
    <w:p w14:paraId="7F7D1807" w14:textId="5DEB1CAB" w:rsidR="00350CFD" w:rsidRDefault="002C0A00" w:rsidP="007A5DE1">
      <w:pPr>
        <w:pStyle w:val="Prrafodelista"/>
        <w:keepNext/>
        <w:keepLines/>
        <w:spacing w:before="120" w:after="0"/>
        <w:ind w:left="0"/>
        <w:jc w:val="both"/>
        <w:rPr>
          <w:rFonts w:ascii="Arial" w:eastAsia="Arial" w:hAnsi="Arial" w:cs="Arial"/>
          <w:b/>
          <w:u w:val="single"/>
        </w:rPr>
      </w:pPr>
      <w:r w:rsidRPr="002C0A00">
        <w:rPr>
          <w:rFonts w:ascii="Arial" w:eastAsia="Arial" w:hAnsi="Arial" w:cs="Arial"/>
          <w:b/>
          <w:u w:val="single"/>
        </w:rPr>
        <w:t>Glosas DGC</w:t>
      </w:r>
    </w:p>
    <w:p w14:paraId="6394B4F9" w14:textId="77777777" w:rsidR="002C0A00" w:rsidRPr="002C0A00" w:rsidRDefault="002C0A00" w:rsidP="007A5DE1">
      <w:pPr>
        <w:pStyle w:val="Prrafodelista"/>
        <w:keepNext/>
        <w:keepLines/>
        <w:spacing w:before="120" w:after="0"/>
        <w:ind w:left="0"/>
        <w:jc w:val="both"/>
        <w:rPr>
          <w:rFonts w:ascii="Arial" w:eastAsia="Arial" w:hAnsi="Arial" w:cs="Arial"/>
          <w:b/>
          <w:u w:val="single"/>
        </w:rPr>
      </w:pPr>
    </w:p>
    <w:p w14:paraId="6968137C" w14:textId="57FC8F96" w:rsidR="00FB7DF8" w:rsidRPr="007A5DE1" w:rsidRDefault="00FB7DF8" w:rsidP="007A5DE1">
      <w:pPr>
        <w:jc w:val="both"/>
        <w:rPr>
          <w:rFonts w:ascii="Arial" w:eastAsia="Arial" w:hAnsi="Arial" w:cs="Arial"/>
          <w:b/>
        </w:rPr>
      </w:pPr>
      <w:r w:rsidRPr="007A5DE1">
        <w:rPr>
          <w:rFonts w:ascii="Arial" w:eastAsia="Arial" w:hAnsi="Arial" w:cs="Arial"/>
          <w:b/>
        </w:rPr>
        <w:t xml:space="preserve">Glosa </w:t>
      </w:r>
      <w:r w:rsidRPr="00326241">
        <w:rPr>
          <w:rFonts w:ascii="Arial" w:eastAsia="Arial" w:hAnsi="Arial" w:cs="Arial"/>
          <w:b/>
        </w:rPr>
        <w:t>N°05:</w:t>
      </w:r>
      <w:r w:rsidRPr="00FB7DF8">
        <w:rPr>
          <w:rFonts w:ascii="Arial" w:eastAsia="Arial" w:hAnsi="Arial" w:cs="Arial"/>
          <w:bCs/>
        </w:rPr>
        <w:t xml:space="preserve"> “Las modificaciones de contratos vigentes en operación, que aprueben modificaciones de obras para resguardar la seguridad pública, tales como provisión e instalación de cámaras de seguridad, software, iluminación, seguridad para peatones y/o recuperación de sitios adyacentes que se han constituido en foco de delincuencia, entre otras de igual naturaleza, podrán ser contratadas mediante resolución de urgencia, con la sola aprobación previa de la Dirección de Presupuestos. Las obras de seguridad pública, asociadas a este programa serán informadas trimestralmente a la Comisión Especial Mixta de Presupuestos, a la Comisión de Seguridad Pública y a la Comisión de Gobierno, Descentralización y Regionalización del Senado”</w:t>
      </w:r>
      <w:r w:rsidR="007A5DE1">
        <w:rPr>
          <w:rFonts w:ascii="Arial" w:eastAsia="Arial" w:hAnsi="Arial" w:cs="Arial"/>
          <w:bCs/>
        </w:rPr>
        <w:t>.</w:t>
      </w:r>
    </w:p>
    <w:p w14:paraId="0F4CAD46" w14:textId="64CFB1A1" w:rsidR="007A5DE1" w:rsidRPr="007A5DE1" w:rsidRDefault="007A5DE1" w:rsidP="007A5DE1">
      <w:pPr>
        <w:jc w:val="both"/>
        <w:rPr>
          <w:rFonts w:ascii="Arial" w:eastAsia="Arial" w:hAnsi="Arial" w:cs="Arial"/>
          <w:b/>
        </w:rPr>
      </w:pPr>
      <w:r w:rsidRPr="007A5DE1">
        <w:rPr>
          <w:rFonts w:ascii="Arial" w:eastAsia="Arial" w:hAnsi="Arial" w:cs="Arial"/>
          <w:b/>
        </w:rPr>
        <w:t>Respuesta:</w:t>
      </w:r>
    </w:p>
    <w:p w14:paraId="0F1989E9" w14:textId="1F22942B" w:rsidR="007A5DE1" w:rsidRDefault="007A5DE1" w:rsidP="007A5DE1">
      <w:pPr>
        <w:jc w:val="both"/>
        <w:rPr>
          <w:rFonts w:ascii="Arial" w:eastAsia="Arial" w:hAnsi="Arial" w:cs="Arial"/>
          <w:bCs/>
        </w:rPr>
      </w:pPr>
      <w:r>
        <w:rPr>
          <w:rFonts w:ascii="Arial" w:eastAsia="Arial" w:hAnsi="Arial" w:cs="Arial"/>
          <w:bCs/>
        </w:rPr>
        <w:t xml:space="preserve">Al </w:t>
      </w:r>
      <w:r w:rsidR="00FF5016">
        <w:rPr>
          <w:rFonts w:ascii="Arial" w:eastAsia="Arial" w:hAnsi="Arial" w:cs="Arial"/>
          <w:bCs/>
        </w:rPr>
        <w:t>30</w:t>
      </w:r>
      <w:r>
        <w:rPr>
          <w:rFonts w:ascii="Arial" w:eastAsia="Arial" w:hAnsi="Arial" w:cs="Arial"/>
          <w:bCs/>
        </w:rPr>
        <w:t xml:space="preserve"> de </w:t>
      </w:r>
      <w:r w:rsidR="00D40C4C">
        <w:rPr>
          <w:rFonts w:ascii="Arial" w:eastAsia="Arial" w:hAnsi="Arial" w:cs="Arial"/>
          <w:bCs/>
        </w:rPr>
        <w:t>diciembre</w:t>
      </w:r>
      <w:r w:rsidR="00FF5016">
        <w:rPr>
          <w:rFonts w:ascii="Arial" w:eastAsia="Arial" w:hAnsi="Arial" w:cs="Arial"/>
          <w:bCs/>
        </w:rPr>
        <w:t xml:space="preserve"> </w:t>
      </w:r>
      <w:r>
        <w:rPr>
          <w:rFonts w:ascii="Arial" w:eastAsia="Arial" w:hAnsi="Arial" w:cs="Arial"/>
          <w:bCs/>
        </w:rPr>
        <w:t xml:space="preserve">de 2025, </w:t>
      </w:r>
      <w:r w:rsidRPr="007A5DE1">
        <w:rPr>
          <w:rFonts w:ascii="Arial" w:eastAsia="Arial" w:hAnsi="Arial" w:cs="Arial"/>
          <w:bCs/>
        </w:rPr>
        <w:t xml:space="preserve">sólo se ha dispuesto la contratación del </w:t>
      </w:r>
      <w:r w:rsidRPr="007A5DE1">
        <w:rPr>
          <w:rFonts w:ascii="Arial" w:eastAsia="Arial" w:hAnsi="Arial" w:cs="Arial"/>
          <w:b/>
        </w:rPr>
        <w:t>Parque Renca</w:t>
      </w:r>
      <w:r w:rsidRPr="007A5DE1">
        <w:rPr>
          <w:rFonts w:ascii="Arial" w:eastAsia="Arial" w:hAnsi="Arial" w:cs="Arial"/>
          <w:bCs/>
        </w:rPr>
        <w:t xml:space="preserve"> mediante Glosa 05.</w:t>
      </w:r>
      <w:r>
        <w:rPr>
          <w:rFonts w:ascii="Arial" w:eastAsia="Arial" w:hAnsi="Arial" w:cs="Arial"/>
          <w:bCs/>
        </w:rPr>
        <w:t xml:space="preserve"> A continuación, se entrega una descripción sobre la obra:</w:t>
      </w:r>
    </w:p>
    <w:p w14:paraId="4FF1AF69" w14:textId="77777777" w:rsidR="007A5DE1" w:rsidRDefault="00A13422" w:rsidP="007A5DE1">
      <w:pPr>
        <w:jc w:val="both"/>
        <w:rPr>
          <w:rFonts w:ascii="Arial" w:eastAsia="Arial" w:hAnsi="Arial" w:cs="Arial"/>
          <w:bCs/>
        </w:rPr>
      </w:pPr>
      <w:r w:rsidRPr="00A13422">
        <w:rPr>
          <w:rFonts w:ascii="Arial" w:eastAsia="Arial" w:hAnsi="Arial" w:cs="Arial"/>
          <w:b/>
        </w:rPr>
        <w:t>Contrato de Concesión</w:t>
      </w:r>
      <w:r>
        <w:rPr>
          <w:rFonts w:ascii="Arial" w:eastAsia="Arial" w:hAnsi="Arial" w:cs="Arial"/>
          <w:bCs/>
        </w:rPr>
        <w:t>: Sistema Oriente – Poniente.</w:t>
      </w:r>
    </w:p>
    <w:p w14:paraId="436B84DB" w14:textId="77777777" w:rsidR="007A5DE1" w:rsidRDefault="00A13422" w:rsidP="007A5DE1">
      <w:pPr>
        <w:jc w:val="both"/>
        <w:rPr>
          <w:rFonts w:ascii="Arial" w:eastAsia="Arial" w:hAnsi="Arial" w:cs="Arial"/>
        </w:rPr>
      </w:pPr>
      <w:r>
        <w:rPr>
          <w:rFonts w:ascii="Arial" w:eastAsia="Arial" w:hAnsi="Arial" w:cs="Arial"/>
          <w:b/>
        </w:rPr>
        <w:t>Nombre de la Obra</w:t>
      </w:r>
      <w:r>
        <w:rPr>
          <w:rFonts w:ascii="Arial" w:eastAsia="Arial" w:hAnsi="Arial" w:cs="Arial"/>
        </w:rPr>
        <w:t>: Parque Renca.</w:t>
      </w:r>
    </w:p>
    <w:p w14:paraId="5847C889" w14:textId="77777777" w:rsidR="007A5DE1" w:rsidRDefault="00A13422" w:rsidP="007A5DE1">
      <w:pPr>
        <w:jc w:val="both"/>
        <w:rPr>
          <w:rFonts w:ascii="Arial" w:eastAsia="Arial" w:hAnsi="Arial" w:cs="Arial"/>
          <w:bCs/>
        </w:rPr>
      </w:pPr>
      <w:r>
        <w:rPr>
          <w:rFonts w:ascii="Arial" w:eastAsia="Arial" w:hAnsi="Arial" w:cs="Arial"/>
          <w:b/>
        </w:rPr>
        <w:t>Monto de Inversión</w:t>
      </w:r>
      <w:r w:rsidRPr="00A13422">
        <w:rPr>
          <w:rFonts w:ascii="Arial" w:eastAsia="Arial" w:hAnsi="Arial" w:cs="Arial"/>
        </w:rPr>
        <w:t>:</w:t>
      </w:r>
      <w:r>
        <w:rPr>
          <w:rFonts w:ascii="Arial" w:eastAsia="Arial" w:hAnsi="Arial" w:cs="Arial"/>
        </w:rPr>
        <w:t xml:space="preserve"> UF</w:t>
      </w:r>
      <w:r w:rsidR="00644A0D">
        <w:rPr>
          <w:rFonts w:ascii="Arial" w:eastAsia="Arial" w:hAnsi="Arial" w:cs="Arial"/>
        </w:rPr>
        <w:t xml:space="preserve"> 173</w:t>
      </w:r>
      <w:r w:rsidR="00644A0D" w:rsidRPr="00644A0D">
        <w:rPr>
          <w:rFonts w:ascii="Arial" w:eastAsia="Arial" w:hAnsi="Arial" w:cs="Arial"/>
          <w:bCs/>
        </w:rPr>
        <w:t>.</w:t>
      </w:r>
      <w:r w:rsidR="00644A0D">
        <w:rPr>
          <w:rFonts w:ascii="Arial" w:eastAsia="Arial" w:hAnsi="Arial" w:cs="Arial"/>
          <w:bCs/>
        </w:rPr>
        <w:t>478</w:t>
      </w:r>
    </w:p>
    <w:p w14:paraId="76EB6CC6" w14:textId="152CBBB9" w:rsidR="00FF5016" w:rsidRPr="00FF5016" w:rsidRDefault="00FF5016" w:rsidP="00FF5016">
      <w:pPr>
        <w:jc w:val="both"/>
        <w:rPr>
          <w:rFonts w:ascii="Arial" w:eastAsia="Arial" w:hAnsi="Arial" w:cs="Arial"/>
          <w:bCs/>
          <w:lang w:val="es-ES"/>
        </w:rPr>
      </w:pPr>
      <w:r w:rsidRPr="00FF5016">
        <w:rPr>
          <w:rFonts w:ascii="Arial" w:eastAsia="Arial" w:hAnsi="Arial" w:cs="Arial"/>
          <w:b/>
          <w:bCs/>
          <w:lang w:val="es-ES"/>
        </w:rPr>
        <w:t xml:space="preserve">Porcentaje de avance de obra a </w:t>
      </w:r>
      <w:r w:rsidR="00B3475D">
        <w:rPr>
          <w:rFonts w:ascii="Arial" w:eastAsia="Arial" w:hAnsi="Arial" w:cs="Arial"/>
          <w:b/>
          <w:bCs/>
          <w:lang w:val="es-ES"/>
        </w:rPr>
        <w:t>diciembre</w:t>
      </w:r>
      <w:r w:rsidRPr="00FF5016">
        <w:rPr>
          <w:rFonts w:ascii="Arial" w:eastAsia="Arial" w:hAnsi="Arial" w:cs="Arial"/>
          <w:b/>
          <w:bCs/>
          <w:lang w:val="es-ES"/>
        </w:rPr>
        <w:t xml:space="preserve"> de 2025</w:t>
      </w:r>
      <w:r w:rsidRPr="00FF5016">
        <w:rPr>
          <w:rFonts w:ascii="Arial" w:eastAsia="Arial" w:hAnsi="Arial" w:cs="Arial"/>
          <w:bCs/>
          <w:lang w:val="es-ES"/>
        </w:rPr>
        <w:t xml:space="preserve">: </w:t>
      </w:r>
      <w:r w:rsidR="00B3475D">
        <w:rPr>
          <w:rFonts w:ascii="Arial" w:eastAsia="Arial" w:hAnsi="Arial" w:cs="Arial"/>
          <w:bCs/>
          <w:lang w:val="es-ES"/>
        </w:rPr>
        <w:t>100</w:t>
      </w:r>
      <w:r w:rsidRPr="00FF5016">
        <w:rPr>
          <w:rFonts w:ascii="Arial" w:eastAsia="Arial" w:hAnsi="Arial" w:cs="Arial"/>
          <w:bCs/>
          <w:lang w:val="es-ES"/>
        </w:rPr>
        <w:t>%</w:t>
      </w:r>
    </w:p>
    <w:p w14:paraId="40B8E715" w14:textId="0BF0F07B" w:rsidR="00FF5016" w:rsidRPr="00FF5016" w:rsidRDefault="00FF5016" w:rsidP="00FF5016">
      <w:pPr>
        <w:jc w:val="both"/>
        <w:rPr>
          <w:rFonts w:ascii="Arial" w:eastAsia="Arial" w:hAnsi="Arial" w:cs="Arial"/>
          <w:bCs/>
          <w:lang w:val="es-ES"/>
        </w:rPr>
      </w:pPr>
      <w:r w:rsidRPr="00FF5016">
        <w:rPr>
          <w:rFonts w:ascii="Arial" w:eastAsia="Arial" w:hAnsi="Arial" w:cs="Arial"/>
          <w:b/>
          <w:bCs/>
          <w:lang w:val="es-ES"/>
        </w:rPr>
        <w:t>Plazo máximo de ejecución</w:t>
      </w:r>
      <w:r w:rsidRPr="00FF5016">
        <w:rPr>
          <w:rFonts w:ascii="Arial" w:eastAsia="Arial" w:hAnsi="Arial" w:cs="Arial"/>
          <w:bCs/>
          <w:lang w:val="es-ES"/>
        </w:rPr>
        <w:t>: diciembre de 2025</w:t>
      </w:r>
    </w:p>
    <w:p w14:paraId="1AB97650" w14:textId="77777777" w:rsidR="007A5DE1" w:rsidRDefault="00243DCC" w:rsidP="007A5DE1">
      <w:pPr>
        <w:jc w:val="both"/>
        <w:rPr>
          <w:rFonts w:ascii="Arial" w:eastAsia="Arial" w:hAnsi="Arial" w:cs="Arial"/>
        </w:rPr>
      </w:pPr>
      <w:r>
        <w:rPr>
          <w:rFonts w:ascii="Arial" w:eastAsia="Arial" w:hAnsi="Arial" w:cs="Arial"/>
          <w:b/>
        </w:rPr>
        <w:t>Acto Administrativo</w:t>
      </w:r>
      <w:r w:rsidRPr="00243DCC">
        <w:rPr>
          <w:rFonts w:ascii="Arial" w:eastAsia="Arial" w:hAnsi="Arial" w:cs="Arial"/>
        </w:rPr>
        <w:t>:</w:t>
      </w:r>
      <w:r>
        <w:rPr>
          <w:rFonts w:ascii="Arial" w:eastAsia="Arial" w:hAnsi="Arial" w:cs="Arial"/>
        </w:rPr>
        <w:t xml:space="preserve"> Res </w:t>
      </w:r>
      <w:r w:rsidR="0065481F">
        <w:rPr>
          <w:rFonts w:ascii="Arial" w:eastAsia="Arial" w:hAnsi="Arial" w:cs="Arial"/>
        </w:rPr>
        <w:t>(E) N°017 de fecha 11 de febrero de 2025</w:t>
      </w:r>
      <w:r w:rsidR="00A9073C">
        <w:rPr>
          <w:rFonts w:ascii="Arial" w:eastAsia="Arial" w:hAnsi="Arial" w:cs="Arial"/>
        </w:rPr>
        <w:t xml:space="preserve"> (</w:t>
      </w:r>
      <w:r w:rsidR="007A5DE1">
        <w:rPr>
          <w:rFonts w:ascii="Arial" w:eastAsia="Arial" w:hAnsi="Arial" w:cs="Arial"/>
        </w:rPr>
        <w:t>adjunto al presente informe</w:t>
      </w:r>
      <w:r w:rsidR="00A9073C">
        <w:rPr>
          <w:rFonts w:ascii="Arial" w:eastAsia="Arial" w:hAnsi="Arial" w:cs="Arial"/>
        </w:rPr>
        <w:t>)</w:t>
      </w:r>
      <w:r w:rsidR="007A5DE1">
        <w:rPr>
          <w:rFonts w:ascii="Arial" w:eastAsia="Arial" w:hAnsi="Arial" w:cs="Arial"/>
        </w:rPr>
        <w:t>.</w:t>
      </w:r>
    </w:p>
    <w:p w14:paraId="5272F0AE" w14:textId="05E419AB" w:rsidR="00A9073C" w:rsidRDefault="00A9073C" w:rsidP="007A5DE1">
      <w:pPr>
        <w:jc w:val="both"/>
        <w:rPr>
          <w:rFonts w:ascii="Arial" w:eastAsia="Arial" w:hAnsi="Arial" w:cs="Arial"/>
        </w:rPr>
      </w:pPr>
      <w:r>
        <w:rPr>
          <w:rFonts w:ascii="Arial" w:eastAsia="Arial" w:hAnsi="Arial" w:cs="Arial"/>
          <w:b/>
        </w:rPr>
        <w:lastRenderedPageBreak/>
        <w:t>Descripción del Proyecto</w:t>
      </w:r>
      <w:r w:rsidRPr="00A9073C">
        <w:rPr>
          <w:rFonts w:ascii="Arial" w:eastAsia="Arial" w:hAnsi="Arial" w:cs="Arial"/>
        </w:rPr>
        <w:t>:</w:t>
      </w:r>
      <w:r>
        <w:rPr>
          <w:rFonts w:ascii="Arial" w:eastAsia="Arial" w:hAnsi="Arial" w:cs="Arial"/>
        </w:rPr>
        <w:t xml:space="preserve"> </w:t>
      </w:r>
      <w:r w:rsidRPr="00A9073C">
        <w:rPr>
          <w:rFonts w:ascii="Arial" w:eastAsia="Arial" w:hAnsi="Arial" w:cs="Arial"/>
        </w:rPr>
        <w:t>El proyecto de mejoramiento del “Parque Renca” tiene por objetivo elevar la calidad de vida de los vecinos de la comuna, mediante la habilitación de nuevos espacios públicos que favorezcan el encuentro comunitario y el desarrollo de actividades deportivas y recreativas para niños, jóvenes y adultos mayores. Esta intervención se enmarca en las disposiciones establecidas en la Glosa N°5 de la Ley de Presupuestos, al tratarse de obras orientadas a resguardar la seguridad pública. En efecto, las condiciones actuales del parque lo han convertido en un espacio propicio para actos de vandalismo y delitos, generando un grave menoscabo tanto para el recinto como para la seguridad ciudadana. Por esta razón, la recuperación del parque responde a la necesidad urgente de recuperar un sitio adyacente que se ha constituido en foco de delincuencia, conforme a lo dispuesto en dicha normativa presupuestaria.</w:t>
      </w:r>
    </w:p>
    <w:p w14:paraId="737FCE2C" w14:textId="45357D31" w:rsidR="00FF5016" w:rsidRPr="00FF5016" w:rsidRDefault="00FF5016" w:rsidP="00FF5016">
      <w:pPr>
        <w:jc w:val="both"/>
        <w:rPr>
          <w:rFonts w:ascii="Arial" w:eastAsia="Arial" w:hAnsi="Arial" w:cs="Arial"/>
        </w:rPr>
      </w:pPr>
      <w:r w:rsidRPr="00FF5016">
        <w:rPr>
          <w:rFonts w:ascii="Arial" w:eastAsia="Arial" w:hAnsi="Arial" w:cs="Arial"/>
        </w:rPr>
        <w:t>Las obras consideran:</w:t>
      </w:r>
    </w:p>
    <w:p w14:paraId="09157383" w14:textId="383AA386"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Modernización del sistema de iluminación pública del parque</w:t>
      </w:r>
      <w:r>
        <w:rPr>
          <w:rFonts w:ascii="Arial" w:eastAsia="Arial" w:hAnsi="Arial" w:cs="Arial"/>
        </w:rPr>
        <w:t>.</w:t>
      </w:r>
    </w:p>
    <w:p w14:paraId="16FD1014" w14:textId="3CA01F86"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Mejoramiento de áreas verdes y paisajismo</w:t>
      </w:r>
      <w:r>
        <w:rPr>
          <w:rFonts w:ascii="Arial" w:eastAsia="Arial" w:hAnsi="Arial" w:cs="Arial"/>
        </w:rPr>
        <w:t>.</w:t>
      </w:r>
    </w:p>
    <w:p w14:paraId="055E9E8B" w14:textId="65E63B55"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Renovación de las vías de circulación peatonal</w:t>
      </w:r>
      <w:r>
        <w:rPr>
          <w:rFonts w:ascii="Arial" w:eastAsia="Arial" w:hAnsi="Arial" w:cs="Arial"/>
        </w:rPr>
        <w:t>.</w:t>
      </w:r>
    </w:p>
    <w:p w14:paraId="19F4F4B8" w14:textId="4C7F1C0C"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Actualización del equipamiento recreativo y mobiliario urbano</w:t>
      </w:r>
      <w:r>
        <w:rPr>
          <w:rFonts w:ascii="Arial" w:eastAsia="Arial" w:hAnsi="Arial" w:cs="Arial"/>
        </w:rPr>
        <w:t>.</w:t>
      </w:r>
    </w:p>
    <w:p w14:paraId="655CEF7D" w14:textId="4363CEFA"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Implementación de un sistema de control de acceso mediante cierres perimetrales</w:t>
      </w:r>
      <w:r>
        <w:rPr>
          <w:rFonts w:ascii="Arial" w:eastAsia="Arial" w:hAnsi="Arial" w:cs="Arial"/>
        </w:rPr>
        <w:t>.</w:t>
      </w:r>
    </w:p>
    <w:p w14:paraId="395C748A" w14:textId="670825C2" w:rsidR="00FF5016" w:rsidRPr="00FF5016" w:rsidRDefault="00FF5016" w:rsidP="00FF5016">
      <w:pPr>
        <w:pStyle w:val="Prrafodelista"/>
        <w:numPr>
          <w:ilvl w:val="0"/>
          <w:numId w:val="18"/>
        </w:numPr>
        <w:jc w:val="both"/>
        <w:rPr>
          <w:rFonts w:ascii="Arial" w:eastAsia="Arial" w:hAnsi="Arial" w:cs="Arial"/>
        </w:rPr>
      </w:pPr>
      <w:r w:rsidRPr="00FF5016">
        <w:rPr>
          <w:rFonts w:ascii="Arial" w:eastAsia="Arial" w:hAnsi="Arial" w:cs="Arial"/>
        </w:rPr>
        <w:t>Presencia permanente de guardias de seguridad</w:t>
      </w:r>
      <w:r>
        <w:rPr>
          <w:rFonts w:ascii="Arial" w:eastAsia="Arial" w:hAnsi="Arial" w:cs="Arial"/>
        </w:rPr>
        <w:t>.</w:t>
      </w:r>
    </w:p>
    <w:p w14:paraId="24D20584" w14:textId="6EC2F77D" w:rsidR="00FF5016" w:rsidRPr="00FF5016" w:rsidRDefault="00FF5016" w:rsidP="007A5DE1">
      <w:pPr>
        <w:pStyle w:val="Prrafodelista"/>
        <w:numPr>
          <w:ilvl w:val="0"/>
          <w:numId w:val="18"/>
        </w:numPr>
        <w:jc w:val="both"/>
        <w:rPr>
          <w:rFonts w:ascii="Arial" w:eastAsia="Arial" w:hAnsi="Arial" w:cs="Arial"/>
        </w:rPr>
      </w:pPr>
      <w:r w:rsidRPr="00FF5016">
        <w:rPr>
          <w:rFonts w:ascii="Arial" w:eastAsia="Arial" w:hAnsi="Arial" w:cs="Arial"/>
        </w:rPr>
        <w:t>Instalación de cámaras de vigilancia CCTV</w:t>
      </w:r>
      <w:r>
        <w:rPr>
          <w:rFonts w:ascii="Arial" w:eastAsia="Arial" w:hAnsi="Arial" w:cs="Arial"/>
        </w:rPr>
        <w:t>.</w:t>
      </w:r>
    </w:p>
    <w:p w14:paraId="2712E193" w14:textId="75C49795" w:rsidR="007A5DE1" w:rsidRDefault="007A5DE1" w:rsidP="007A5DE1">
      <w:pPr>
        <w:jc w:val="both"/>
        <w:rPr>
          <w:rFonts w:ascii="Arial" w:eastAsia="Arial" w:hAnsi="Arial" w:cs="Arial"/>
          <w:b/>
        </w:rPr>
      </w:pPr>
      <w:r>
        <w:rPr>
          <w:rFonts w:ascii="Arial" w:eastAsia="Arial" w:hAnsi="Arial" w:cs="Arial"/>
          <w:b/>
        </w:rPr>
        <w:t xml:space="preserve">Glosa </w:t>
      </w:r>
      <w:r w:rsidRPr="00326241">
        <w:rPr>
          <w:rFonts w:ascii="Arial" w:eastAsia="Arial" w:hAnsi="Arial" w:cs="Arial"/>
          <w:b/>
        </w:rPr>
        <w:t>N°06:</w:t>
      </w:r>
      <w:r>
        <w:rPr>
          <w:rFonts w:ascii="Arial" w:eastAsia="Arial" w:hAnsi="Arial" w:cs="Arial"/>
          <w:b/>
        </w:rPr>
        <w:t xml:space="preserve"> “</w:t>
      </w:r>
      <w:r w:rsidRPr="007A5DE1">
        <w:rPr>
          <w:rFonts w:ascii="Arial" w:eastAsia="Arial" w:hAnsi="Arial" w:cs="Arial"/>
          <w:bCs/>
        </w:rPr>
        <w:t>Trimestralmente, la Dirección deberá proporcionar a la Dirección de Presupuestos y a la Quinta Subcomisión Especial de Presupuestos del Congreso Nacional información acerca de los flujos de vehículos y sus tarifas vigentes en las obras Concesionadas</w:t>
      </w:r>
      <w:r>
        <w:rPr>
          <w:rFonts w:ascii="Arial" w:eastAsia="Arial" w:hAnsi="Arial" w:cs="Arial"/>
          <w:bCs/>
        </w:rPr>
        <w:t>”.</w:t>
      </w:r>
    </w:p>
    <w:p w14:paraId="2A9E6FAE" w14:textId="77777777" w:rsidR="002C0A00" w:rsidRDefault="007A5DE1" w:rsidP="007A5DE1">
      <w:pPr>
        <w:jc w:val="both"/>
        <w:rPr>
          <w:rFonts w:ascii="Arial" w:eastAsia="Arial" w:hAnsi="Arial" w:cs="Arial"/>
          <w:b/>
        </w:rPr>
      </w:pPr>
      <w:r>
        <w:rPr>
          <w:rFonts w:ascii="Arial" w:eastAsia="Arial" w:hAnsi="Arial" w:cs="Arial"/>
          <w:b/>
        </w:rPr>
        <w:t xml:space="preserve">Respuesta: </w:t>
      </w:r>
    </w:p>
    <w:p w14:paraId="293DAF0D" w14:textId="61876BF4" w:rsidR="00CC3B24" w:rsidRPr="00CC3B24" w:rsidRDefault="00CC3B24" w:rsidP="00CC3B24">
      <w:pPr>
        <w:jc w:val="both"/>
        <w:rPr>
          <w:rFonts w:ascii="Arial" w:eastAsia="Arial" w:hAnsi="Arial" w:cs="Arial"/>
          <w:bCs/>
        </w:rPr>
      </w:pPr>
      <w:r w:rsidRPr="00CC3B24">
        <w:rPr>
          <w:rFonts w:ascii="Arial" w:eastAsia="Arial" w:hAnsi="Arial" w:cs="Arial"/>
          <w:bCs/>
        </w:rPr>
        <w:t xml:space="preserve">Se adjunta al presente informe una planilla Excel con la información solicitada. Como es habitual, los antecedentes correspondientes a flujos vehiculares se incluyen solo hasta el mes de </w:t>
      </w:r>
      <w:r w:rsidR="00D662C3">
        <w:rPr>
          <w:rFonts w:ascii="Arial" w:eastAsia="Arial" w:hAnsi="Arial" w:cs="Arial"/>
          <w:bCs/>
        </w:rPr>
        <w:t>noviembre</w:t>
      </w:r>
      <w:r w:rsidRPr="00CC3B24">
        <w:rPr>
          <w:rFonts w:ascii="Arial" w:eastAsia="Arial" w:hAnsi="Arial" w:cs="Arial"/>
          <w:bCs/>
        </w:rPr>
        <w:t>, considerando que, de acuerdo con las bases de licitación de los respectivos contratos, las Sociedades Concesionarias disponen de un plazo de entre 10 y 15 días posteriores al mes informado para remitir dicha información.</w:t>
      </w:r>
      <w:r>
        <w:rPr>
          <w:rFonts w:ascii="Arial" w:eastAsia="Arial" w:hAnsi="Arial" w:cs="Arial"/>
          <w:bCs/>
        </w:rPr>
        <w:t xml:space="preserve"> </w:t>
      </w:r>
      <w:r w:rsidRPr="00CC3B24">
        <w:rPr>
          <w:rFonts w:ascii="Arial" w:eastAsia="Arial" w:hAnsi="Arial" w:cs="Arial"/>
          <w:bCs/>
        </w:rPr>
        <w:t xml:space="preserve">Adicionalmente, la carga de datos en el sistema SICE tiene como fecha límite el 25 de </w:t>
      </w:r>
      <w:r w:rsidR="00D662C3">
        <w:rPr>
          <w:rFonts w:ascii="Arial" w:eastAsia="Arial" w:hAnsi="Arial" w:cs="Arial"/>
          <w:bCs/>
        </w:rPr>
        <w:t>enero</w:t>
      </w:r>
      <w:r w:rsidRPr="00CC3B24">
        <w:rPr>
          <w:rFonts w:ascii="Arial" w:eastAsia="Arial" w:hAnsi="Arial" w:cs="Arial"/>
          <w:bCs/>
        </w:rPr>
        <w:t>.</w:t>
      </w:r>
    </w:p>
    <w:p w14:paraId="1E4C4A69" w14:textId="3AA5656F" w:rsidR="00CC3B24" w:rsidRPr="00CC3B24" w:rsidRDefault="00CC3B24" w:rsidP="00CC3B24">
      <w:pPr>
        <w:jc w:val="both"/>
        <w:rPr>
          <w:rFonts w:ascii="Arial" w:eastAsia="Arial" w:hAnsi="Arial" w:cs="Arial"/>
          <w:bCs/>
        </w:rPr>
      </w:pPr>
      <w:r w:rsidRPr="00CC3B24">
        <w:rPr>
          <w:rFonts w:ascii="Arial" w:eastAsia="Arial" w:hAnsi="Arial" w:cs="Arial"/>
          <w:bCs/>
        </w:rPr>
        <w:t>Por otra parte, los contratos Rutas del Loa se reporta de manera provisoria, dado que su información aún se encuentra en proceso de revisión. Asimismo, permanece pendiente la incorporación de los antecedentes correspondientes a los contratos de edificación pública.</w:t>
      </w:r>
    </w:p>
    <w:p w14:paraId="20F43D95" w14:textId="42D56899" w:rsidR="00FF5016" w:rsidRPr="00FF5016" w:rsidRDefault="00CC3B24" w:rsidP="00CC3B24">
      <w:pPr>
        <w:jc w:val="both"/>
        <w:rPr>
          <w:rFonts w:ascii="Arial" w:eastAsia="Arial" w:hAnsi="Arial" w:cs="Arial"/>
          <w:bCs/>
        </w:rPr>
      </w:pPr>
      <w:r w:rsidRPr="00CC3B24">
        <w:rPr>
          <w:rFonts w:ascii="Arial" w:eastAsia="Arial" w:hAnsi="Arial" w:cs="Arial"/>
          <w:bCs/>
        </w:rPr>
        <w:t xml:space="preserve">Una vez completada la carga de todos los contratos viales en el sistema SICE, se elaborará el informe consolidado y definitivo, cuya emisión se estima para el </w:t>
      </w:r>
      <w:r w:rsidR="00D662C3">
        <w:rPr>
          <w:rFonts w:ascii="Arial" w:eastAsia="Arial" w:hAnsi="Arial" w:cs="Arial"/>
          <w:bCs/>
        </w:rPr>
        <w:t>30</w:t>
      </w:r>
      <w:r w:rsidRPr="00CC3B24">
        <w:rPr>
          <w:rFonts w:ascii="Arial" w:eastAsia="Arial" w:hAnsi="Arial" w:cs="Arial"/>
          <w:bCs/>
        </w:rPr>
        <w:t xml:space="preserve"> de </w:t>
      </w:r>
      <w:r w:rsidR="00D662C3">
        <w:rPr>
          <w:rFonts w:ascii="Arial" w:eastAsia="Arial" w:hAnsi="Arial" w:cs="Arial"/>
          <w:bCs/>
        </w:rPr>
        <w:t>enero</w:t>
      </w:r>
      <w:r w:rsidRPr="00CC3B24">
        <w:rPr>
          <w:rFonts w:ascii="Arial" w:eastAsia="Arial" w:hAnsi="Arial" w:cs="Arial"/>
          <w:bCs/>
        </w:rPr>
        <w:t xml:space="preserve"> de 202</w:t>
      </w:r>
      <w:r w:rsidR="00D662C3">
        <w:rPr>
          <w:rFonts w:ascii="Arial" w:eastAsia="Arial" w:hAnsi="Arial" w:cs="Arial"/>
          <w:bCs/>
        </w:rPr>
        <w:t>6</w:t>
      </w:r>
      <w:r w:rsidRPr="00CC3B24">
        <w:rPr>
          <w:rFonts w:ascii="Arial" w:eastAsia="Arial" w:hAnsi="Arial" w:cs="Arial"/>
          <w:bCs/>
        </w:rPr>
        <w:t>.</w:t>
      </w:r>
    </w:p>
    <w:p w14:paraId="771AD3B4" w14:textId="0228E422" w:rsidR="00FB7DF8" w:rsidRPr="007A5DE1" w:rsidRDefault="00FB7DF8" w:rsidP="007A5DE1">
      <w:pPr>
        <w:jc w:val="both"/>
        <w:rPr>
          <w:rFonts w:ascii="Arial" w:eastAsia="Arial" w:hAnsi="Arial" w:cs="Arial"/>
          <w:b/>
        </w:rPr>
      </w:pPr>
      <w:r w:rsidRPr="007A5DE1">
        <w:rPr>
          <w:rFonts w:ascii="Arial" w:eastAsia="Arial" w:hAnsi="Arial" w:cs="Arial"/>
          <w:b/>
        </w:rPr>
        <w:lastRenderedPageBreak/>
        <w:t xml:space="preserve">Glosa </w:t>
      </w:r>
      <w:r w:rsidRPr="00326241">
        <w:rPr>
          <w:rFonts w:ascii="Arial" w:eastAsia="Arial" w:hAnsi="Arial" w:cs="Arial"/>
          <w:b/>
        </w:rPr>
        <w:t>N°10</w:t>
      </w:r>
      <w:r w:rsidRPr="007A5DE1">
        <w:rPr>
          <w:rFonts w:ascii="Arial" w:eastAsia="Arial" w:hAnsi="Arial" w:cs="Arial"/>
          <w:b/>
        </w:rPr>
        <w:t>:</w:t>
      </w:r>
      <w:r w:rsidRPr="00FB7DF8">
        <w:rPr>
          <w:rFonts w:ascii="Arial" w:eastAsia="Arial" w:hAnsi="Arial" w:cs="Arial"/>
          <w:bCs/>
        </w:rPr>
        <w:t xml:space="preserve"> “La Dirección General de Concesiones de Obras Publicas deberá informar trimestralmente a la Comisión Especial Mixta de Presupuestos, a la Comisión de Obras Públicas, Transportes y Telecomunicaciones y a la Comisión de Vivienda, Desarrollo Urbano y Bienes Nacionales de la Cámara de Diputados, respecto del avance del proyecto ‘Concesión Teleférico de Valparaíso’ relativo a cada una de las etapas de su ejecución</w:t>
      </w:r>
      <w:r w:rsidR="007A5DE1">
        <w:rPr>
          <w:rFonts w:ascii="Arial" w:eastAsia="Arial" w:hAnsi="Arial" w:cs="Arial"/>
          <w:bCs/>
        </w:rPr>
        <w:t>”.</w:t>
      </w:r>
    </w:p>
    <w:p w14:paraId="2616DD4F" w14:textId="63389141" w:rsidR="00FB7DF8" w:rsidRPr="007A5DE1" w:rsidRDefault="007A5DE1" w:rsidP="007A5DE1">
      <w:pPr>
        <w:jc w:val="both"/>
        <w:rPr>
          <w:rFonts w:ascii="Arial" w:eastAsia="Arial" w:hAnsi="Arial" w:cs="Arial"/>
          <w:b/>
        </w:rPr>
      </w:pPr>
      <w:r w:rsidRPr="007A5DE1">
        <w:rPr>
          <w:rFonts w:ascii="Arial" w:eastAsia="Arial" w:hAnsi="Arial" w:cs="Arial"/>
          <w:b/>
        </w:rPr>
        <w:t>Respuesta:</w:t>
      </w:r>
    </w:p>
    <w:p w14:paraId="0BEB9CC6" w14:textId="496EE450" w:rsidR="00B3475D" w:rsidRPr="00B3475D" w:rsidRDefault="00B3475D" w:rsidP="00B3475D">
      <w:pPr>
        <w:jc w:val="both"/>
        <w:rPr>
          <w:rFonts w:ascii="Arial" w:eastAsia="Arial" w:hAnsi="Arial" w:cs="Arial"/>
          <w:bCs/>
        </w:rPr>
      </w:pPr>
      <w:r w:rsidRPr="00B3475D">
        <w:rPr>
          <w:rFonts w:ascii="Arial" w:eastAsia="Arial" w:hAnsi="Arial" w:cs="Arial"/>
          <w:bCs/>
        </w:rPr>
        <w:t>A la fecha, el proyecto concluyó su etapa de prefactibilidad, finalizada en febrero del año 2025. Actualmente, se encuentra en proceso de licitación el Estudio de Anteproyecto. Este nuevo estudio, contempla un enfoque integral y multidisciplinario, que permitirá consolidar una solución técnica para la conexión entre el plan de Valparaíso y el sector de Placilla. Para ello, se incluye estudios de ingeniería, demanda, impacto urbano y social, ambientales, así como modelo de negocios.</w:t>
      </w:r>
    </w:p>
    <w:p w14:paraId="74AAB320" w14:textId="3E39B159" w:rsidR="00B3475D" w:rsidRPr="00B3475D" w:rsidRDefault="00B3475D" w:rsidP="00B3475D">
      <w:pPr>
        <w:jc w:val="both"/>
        <w:rPr>
          <w:rFonts w:ascii="Arial" w:eastAsia="Arial" w:hAnsi="Arial" w:cs="Arial"/>
          <w:bCs/>
        </w:rPr>
      </w:pPr>
      <w:r w:rsidRPr="00B3475D">
        <w:rPr>
          <w:rFonts w:ascii="Arial" w:eastAsia="Arial" w:hAnsi="Arial" w:cs="Arial"/>
          <w:bCs/>
        </w:rPr>
        <w:t>El llamado a licitación para el Estudio de Anteproyecto se realizó el 29 de agosto del 2025 y se recibieron ofertas en diciembre del mismo año, las cuales están en evaluación. Se estima el inicio de estudios dentro del primer semestre del año 2026. Dicho estudio tiene un plazo máximo de ejecución de 305 días, más los plazos de revisión y corrección.</w:t>
      </w:r>
    </w:p>
    <w:p w14:paraId="7AB9E554" w14:textId="3F2A00D6" w:rsidR="00CC3B24" w:rsidRDefault="00B3475D" w:rsidP="00B3475D">
      <w:pPr>
        <w:jc w:val="both"/>
        <w:rPr>
          <w:rFonts w:ascii="Arial" w:eastAsia="Arial" w:hAnsi="Arial" w:cs="Arial"/>
          <w:bCs/>
        </w:rPr>
      </w:pPr>
      <w:r w:rsidRPr="00B3475D">
        <w:rPr>
          <w:rFonts w:ascii="Arial" w:eastAsia="Arial" w:hAnsi="Arial" w:cs="Arial"/>
          <w:bCs/>
        </w:rPr>
        <w:t>Una vez desarrollado el estudio, según los resultados de estos análisis, se iniciará un proceso licitatorio de la concesión del Teleférico Valparaíso, y quien se lo adjudique, estará a cargo del diseño de ingeniería definitivo, construcción, operación y mantención del teleférico, según los plazos que se establezcan en las bases de licitación.</w:t>
      </w:r>
    </w:p>
    <w:p w14:paraId="3713C031" w14:textId="3936339F" w:rsidR="00CC3B24" w:rsidRPr="00CC3B24" w:rsidRDefault="00CC3B24" w:rsidP="00CC3B24">
      <w:pPr>
        <w:jc w:val="both"/>
        <w:rPr>
          <w:rFonts w:ascii="Arial" w:eastAsia="Arial" w:hAnsi="Arial" w:cs="Arial"/>
          <w:b/>
          <w:u w:val="single"/>
        </w:rPr>
      </w:pPr>
      <w:r w:rsidRPr="00CC3B24">
        <w:rPr>
          <w:rFonts w:ascii="Arial" w:eastAsia="Arial" w:hAnsi="Arial" w:cs="Arial"/>
          <w:b/>
          <w:u w:val="single"/>
        </w:rPr>
        <w:t>Glosas Dirección de Vialidad:</w:t>
      </w:r>
    </w:p>
    <w:p w14:paraId="65D2842F" w14:textId="16077D00" w:rsidR="00CC3B24" w:rsidRDefault="00CC3B24" w:rsidP="00CC3B24">
      <w:pPr>
        <w:jc w:val="both"/>
        <w:rPr>
          <w:rFonts w:ascii="Arial" w:eastAsia="Arial" w:hAnsi="Arial" w:cs="Arial"/>
          <w:bCs/>
        </w:rPr>
      </w:pPr>
      <w:r w:rsidRPr="00CC3B24">
        <w:rPr>
          <w:rFonts w:ascii="Arial" w:eastAsia="Arial" w:hAnsi="Arial" w:cs="Arial"/>
          <w:b/>
        </w:rPr>
        <w:t xml:space="preserve">Glosa </w:t>
      </w:r>
      <w:r w:rsidRPr="00326241">
        <w:rPr>
          <w:rFonts w:ascii="Arial" w:eastAsia="Arial" w:hAnsi="Arial" w:cs="Arial"/>
          <w:b/>
        </w:rPr>
        <w:t>N°08</w:t>
      </w:r>
      <w:r>
        <w:rPr>
          <w:rFonts w:ascii="Arial" w:eastAsia="Arial" w:hAnsi="Arial" w:cs="Arial"/>
          <w:bCs/>
        </w:rPr>
        <w:t>: “I</w:t>
      </w:r>
      <w:r w:rsidRPr="00CC3B24">
        <w:rPr>
          <w:rFonts w:ascii="Arial" w:eastAsia="Arial" w:hAnsi="Arial" w:cs="Arial"/>
          <w:bCs/>
        </w:rPr>
        <w:t>nformará trimestralmente a la Comisión de Obras Públicas del Senado y a la Comisión Obras Públicas, Transportes y Telecomunicaciones de la Cámara de Diputados los avances en el estudio para la construcción de una doble vía en el acceso norte y sur de Valdivia. En especial la fecha en que se licitará el estudio, así como también sus avances y resultados</w:t>
      </w:r>
      <w:r>
        <w:rPr>
          <w:rFonts w:ascii="Arial" w:eastAsia="Arial" w:hAnsi="Arial" w:cs="Arial"/>
          <w:bCs/>
        </w:rPr>
        <w:t>”</w:t>
      </w:r>
      <w:r w:rsidRPr="00CC3B24">
        <w:rPr>
          <w:rFonts w:ascii="Arial" w:eastAsia="Arial" w:hAnsi="Arial" w:cs="Arial"/>
          <w:bCs/>
        </w:rPr>
        <w:t>.</w:t>
      </w:r>
    </w:p>
    <w:p w14:paraId="67E58113" w14:textId="490D4E70" w:rsidR="00CC3B24" w:rsidRPr="00CC3B24" w:rsidRDefault="00CC3B24" w:rsidP="00CC3B24">
      <w:pPr>
        <w:jc w:val="both"/>
        <w:rPr>
          <w:rFonts w:ascii="Arial" w:eastAsia="Arial" w:hAnsi="Arial" w:cs="Arial"/>
          <w:b/>
        </w:rPr>
      </w:pPr>
      <w:r w:rsidRPr="00CC3B24">
        <w:rPr>
          <w:rFonts w:ascii="Arial" w:eastAsia="Arial" w:hAnsi="Arial" w:cs="Arial"/>
          <w:b/>
        </w:rPr>
        <w:t>Respuesta:</w:t>
      </w:r>
    </w:p>
    <w:p w14:paraId="3B34D05D" w14:textId="0740CBE3" w:rsidR="00CC3B24" w:rsidRPr="00CC3B24" w:rsidRDefault="00B3475D" w:rsidP="00CC3B24">
      <w:pPr>
        <w:jc w:val="both"/>
        <w:rPr>
          <w:rFonts w:ascii="Arial" w:eastAsia="Arial" w:hAnsi="Arial" w:cs="Arial"/>
          <w:bCs/>
        </w:rPr>
      </w:pPr>
      <w:r w:rsidRPr="00B3475D">
        <w:rPr>
          <w:rFonts w:ascii="Arial" w:eastAsia="Arial" w:hAnsi="Arial" w:cs="Arial"/>
          <w:bCs/>
        </w:rPr>
        <w:t>El proyecto “Concesión Vial Rutas de Acceso a Valdivia” fue llamado a licitación con fecha 10 de diciembre de 2025. Además, se llamó a licitación en Mercado Público el “Estudio de Asuntos Indígenas y Territoriales Concesión Vial Rutas de Acceso a Valdivia”, cuyas ofertas técnicas actualmente están en evaluación, estimándose la adjudicación de este estudio en los primeros meses de 2026.</w:t>
      </w:r>
    </w:p>
    <w:p w14:paraId="742A5786" w14:textId="77777777" w:rsidR="00CC3B24" w:rsidRPr="00CC3B24" w:rsidRDefault="00CC3B24" w:rsidP="00CC3B24">
      <w:pPr>
        <w:jc w:val="both"/>
        <w:rPr>
          <w:rFonts w:ascii="Arial" w:eastAsia="Arial" w:hAnsi="Arial" w:cs="Arial"/>
          <w:bCs/>
        </w:rPr>
      </w:pPr>
      <w:bookmarkStart w:id="0" w:name="_GoBack"/>
      <w:bookmarkEnd w:id="0"/>
    </w:p>
    <w:p w14:paraId="01681042" w14:textId="56BA6E7F" w:rsidR="00CC3B24" w:rsidRDefault="00CC3B24" w:rsidP="00CC3B24">
      <w:pPr>
        <w:jc w:val="both"/>
        <w:rPr>
          <w:rFonts w:ascii="Arial" w:eastAsia="Arial" w:hAnsi="Arial" w:cs="Arial"/>
          <w:bCs/>
        </w:rPr>
      </w:pPr>
      <w:r w:rsidRPr="00CC3B24">
        <w:rPr>
          <w:rFonts w:ascii="Arial" w:eastAsia="Arial" w:hAnsi="Arial" w:cs="Arial"/>
          <w:bCs/>
        </w:rPr>
        <w:lastRenderedPageBreak/>
        <w:t>Por otra parte, las Bases de Licitación de la concesión se encuentran en versión impresa en la Dirección de Presupuestos (DIPRES), a la espera del oficio de aprobación del Ministro de Hacienda.</w:t>
      </w:r>
    </w:p>
    <w:p w14:paraId="75504512" w14:textId="5EE66FFC" w:rsidR="002C0A00" w:rsidRPr="002C0A00" w:rsidRDefault="002C0A00" w:rsidP="00B3475D">
      <w:pPr>
        <w:jc w:val="both"/>
        <w:rPr>
          <w:rFonts w:ascii="Arial" w:eastAsia="Arial" w:hAnsi="Arial" w:cs="Arial"/>
          <w:bCs/>
        </w:rPr>
      </w:pPr>
    </w:p>
    <w:sectPr w:rsidR="002C0A00" w:rsidRPr="002C0A00">
      <w:headerReference w:type="default" r:id="rId12"/>
      <w:footerReference w:type="default" r:id="rId13"/>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DD255" w14:textId="77777777" w:rsidR="00EC7961" w:rsidRDefault="00EC7961">
      <w:pPr>
        <w:spacing w:after="0" w:line="240" w:lineRule="auto"/>
      </w:pPr>
      <w:r>
        <w:separator/>
      </w:r>
    </w:p>
  </w:endnote>
  <w:endnote w:type="continuationSeparator" w:id="0">
    <w:p w14:paraId="0412BF3C" w14:textId="77777777" w:rsidR="00EC7961" w:rsidRDefault="00EC7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4446F" w14:textId="77777777" w:rsidR="00AD7473" w:rsidRDefault="00A268D8">
    <w:pPr>
      <w:pBdr>
        <w:top w:val="nil"/>
        <w:left w:val="nil"/>
        <w:bottom w:val="nil"/>
        <w:right w:val="nil"/>
        <w:between w:val="nil"/>
      </w:pBdr>
      <w:tabs>
        <w:tab w:val="center" w:pos="4419"/>
        <w:tab w:val="right" w:pos="8838"/>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36FF6">
      <w:rPr>
        <w:noProof/>
        <w:color w:val="000000"/>
      </w:rPr>
      <w:t>2</w:t>
    </w:r>
    <w:r>
      <w:rPr>
        <w:color w:val="000000"/>
      </w:rPr>
      <w:fldChar w:fldCharType="end"/>
    </w:r>
  </w:p>
  <w:p w14:paraId="3A722BBE" w14:textId="77777777" w:rsidR="00AD7473" w:rsidRDefault="00AD7473">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635DA" w14:textId="77777777" w:rsidR="00EC7961" w:rsidRDefault="00EC7961">
      <w:pPr>
        <w:spacing w:after="0" w:line="240" w:lineRule="auto"/>
      </w:pPr>
      <w:r>
        <w:separator/>
      </w:r>
    </w:p>
  </w:footnote>
  <w:footnote w:type="continuationSeparator" w:id="0">
    <w:p w14:paraId="0D457735" w14:textId="77777777" w:rsidR="00EC7961" w:rsidRDefault="00EC7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650DE" w14:textId="77777777" w:rsidR="00AD7473" w:rsidRDefault="00A268D8">
    <w:pPr>
      <w:pBdr>
        <w:top w:val="nil"/>
        <w:left w:val="nil"/>
        <w:bottom w:val="nil"/>
        <w:right w:val="nil"/>
        <w:between w:val="nil"/>
      </w:pBdr>
      <w:tabs>
        <w:tab w:val="center" w:pos="4419"/>
        <w:tab w:val="right" w:pos="8838"/>
      </w:tabs>
      <w:spacing w:after="0" w:line="240" w:lineRule="auto"/>
      <w:jc w:val="center"/>
      <w:rPr>
        <w:color w:val="000000"/>
      </w:rPr>
    </w:pPr>
    <w:r>
      <w:rPr>
        <w:noProof/>
      </w:rPr>
      <w:drawing>
        <wp:anchor distT="0" distB="0" distL="114300" distR="114300" simplePos="0" relativeHeight="251658240" behindDoc="0" locked="0" layoutInCell="1" hidden="0" allowOverlap="1" wp14:anchorId="18108076" wp14:editId="4C1CE437">
          <wp:simplePos x="0" y="0"/>
          <wp:positionH relativeFrom="column">
            <wp:posOffset>2277427</wp:posOffset>
          </wp:positionH>
          <wp:positionV relativeFrom="paragraph">
            <wp:posOffset>-121284</wp:posOffset>
          </wp:positionV>
          <wp:extent cx="1057275" cy="965835"/>
          <wp:effectExtent l="0" t="0" r="0" b="0"/>
          <wp:wrapSquare wrapText="bothSides" distT="0" distB="0" distL="114300" distR="114300"/>
          <wp:docPr id="1856162080"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
                  <a:srcRect/>
                  <a:stretch>
                    <a:fillRect/>
                  </a:stretch>
                </pic:blipFill>
                <pic:spPr>
                  <a:xfrm>
                    <a:off x="0" y="0"/>
                    <a:ext cx="1057275" cy="965835"/>
                  </a:xfrm>
                  <a:prstGeom prst="rect">
                    <a:avLst/>
                  </a:prstGeom>
                  <a:ln/>
                </pic:spPr>
              </pic:pic>
            </a:graphicData>
          </a:graphic>
        </wp:anchor>
      </w:drawing>
    </w:r>
  </w:p>
  <w:p w14:paraId="0BB93EFA" w14:textId="77777777" w:rsidR="00AD7473" w:rsidRDefault="00AD7473">
    <w:pPr>
      <w:pBdr>
        <w:top w:val="nil"/>
        <w:left w:val="nil"/>
        <w:bottom w:val="nil"/>
        <w:right w:val="nil"/>
        <w:between w:val="nil"/>
      </w:pBdr>
      <w:tabs>
        <w:tab w:val="center" w:pos="4419"/>
        <w:tab w:val="right" w:pos="8838"/>
      </w:tabs>
      <w:spacing w:after="0" w:line="240" w:lineRule="auto"/>
      <w:jc w:val="center"/>
      <w:rPr>
        <w:color w:val="000000"/>
      </w:rPr>
    </w:pPr>
  </w:p>
  <w:p w14:paraId="5CB1A6A1" w14:textId="77777777" w:rsidR="00AD7473" w:rsidRDefault="00AD7473">
    <w:pPr>
      <w:pBdr>
        <w:top w:val="nil"/>
        <w:left w:val="nil"/>
        <w:bottom w:val="nil"/>
        <w:right w:val="nil"/>
        <w:between w:val="nil"/>
      </w:pBdr>
      <w:tabs>
        <w:tab w:val="center" w:pos="4419"/>
        <w:tab w:val="right" w:pos="8838"/>
      </w:tabs>
      <w:spacing w:after="0" w:line="240" w:lineRule="auto"/>
      <w:jc w:val="center"/>
      <w:rPr>
        <w:color w:val="000000"/>
      </w:rPr>
    </w:pPr>
  </w:p>
  <w:p w14:paraId="265255F7" w14:textId="77777777" w:rsidR="00AD7473" w:rsidRDefault="00AD7473">
    <w:pPr>
      <w:pBdr>
        <w:top w:val="nil"/>
        <w:left w:val="nil"/>
        <w:bottom w:val="nil"/>
        <w:right w:val="nil"/>
        <w:between w:val="nil"/>
      </w:pBdr>
      <w:tabs>
        <w:tab w:val="center" w:pos="4419"/>
        <w:tab w:val="right" w:pos="8838"/>
      </w:tabs>
      <w:spacing w:after="0" w:line="240" w:lineRule="auto"/>
      <w:jc w:val="center"/>
      <w:rPr>
        <w:color w:val="000000"/>
      </w:rPr>
    </w:pPr>
  </w:p>
  <w:p w14:paraId="3FB8B8A7" w14:textId="77777777" w:rsidR="00AD7473" w:rsidRDefault="00AD7473">
    <w:pPr>
      <w:pBdr>
        <w:top w:val="nil"/>
        <w:left w:val="nil"/>
        <w:bottom w:val="nil"/>
        <w:right w:val="nil"/>
        <w:between w:val="nil"/>
      </w:pBdr>
      <w:tabs>
        <w:tab w:val="center" w:pos="4419"/>
        <w:tab w:val="right" w:pos="8838"/>
      </w:tabs>
      <w:spacing w:after="0" w:line="240" w:lineRule="auto"/>
      <w:jc w:val="center"/>
      <w:rPr>
        <w:color w:val="000000"/>
      </w:rPr>
    </w:pPr>
  </w:p>
  <w:p w14:paraId="2C90A2EE" w14:textId="77777777" w:rsidR="00AD7473" w:rsidRDefault="00AD7473">
    <w:pPr>
      <w:pBdr>
        <w:top w:val="nil"/>
        <w:left w:val="nil"/>
        <w:bottom w:val="nil"/>
        <w:right w:val="nil"/>
        <w:between w:val="nil"/>
      </w:pBdr>
      <w:tabs>
        <w:tab w:val="center" w:pos="4419"/>
        <w:tab w:val="right" w:pos="8838"/>
      </w:tabs>
      <w:spacing w:after="0" w:line="240" w:lineRule="auto"/>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FC7440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5F1C73"/>
    <w:multiLevelType w:val="hybridMultilevel"/>
    <w:tmpl w:val="4DC63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8A22CBC"/>
    <w:multiLevelType w:val="hybridMultilevel"/>
    <w:tmpl w:val="391075D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B4C681E"/>
    <w:multiLevelType w:val="hybridMultilevel"/>
    <w:tmpl w:val="65A4BF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69C4492"/>
    <w:multiLevelType w:val="hybridMultilevel"/>
    <w:tmpl w:val="4AEC96FE"/>
    <w:lvl w:ilvl="0" w:tplc="6DC21774">
      <w:start w:val="1"/>
      <w:numFmt w:val="decimal"/>
      <w:lvlText w:val="%1."/>
      <w:lvlJc w:val="left"/>
      <w:pPr>
        <w:ind w:left="0" w:firstLine="0"/>
      </w:pPr>
      <w:rPr>
        <w:rFonts w:hint="default"/>
        <w:b w:val="0"/>
        <w:bCs/>
        <w:i/>
        <w:i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9FB2DCD"/>
    <w:multiLevelType w:val="hybridMultilevel"/>
    <w:tmpl w:val="77D255AE"/>
    <w:lvl w:ilvl="0" w:tplc="0394A662">
      <w:numFmt w:val="bullet"/>
      <w:lvlText w:val="-"/>
      <w:lvlJc w:val="left"/>
      <w:pPr>
        <w:ind w:left="720" w:hanging="360"/>
      </w:pPr>
      <w:rPr>
        <w:rFonts w:ascii="Arial" w:eastAsia="Arial"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2A262736"/>
    <w:multiLevelType w:val="hybridMultilevel"/>
    <w:tmpl w:val="DAEC39E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C266C0C"/>
    <w:multiLevelType w:val="hybridMultilevel"/>
    <w:tmpl w:val="7960F3AE"/>
    <w:lvl w:ilvl="0" w:tplc="F6FE194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nsid w:val="2E2158A8"/>
    <w:multiLevelType w:val="hybridMultilevel"/>
    <w:tmpl w:val="ED7077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2EC447A5"/>
    <w:multiLevelType w:val="hybridMultilevel"/>
    <w:tmpl w:val="0DFCBB32"/>
    <w:lvl w:ilvl="0" w:tplc="F904A9D0">
      <w:start w:val="1"/>
      <w:numFmt w:val="decimal"/>
      <w:lvlText w:val="%1."/>
      <w:lvlJc w:val="left"/>
      <w:pPr>
        <w:ind w:left="2880" w:hanging="2160"/>
      </w:pPr>
      <w:rPr>
        <w:rFonts w:hint="default"/>
        <w:b/>
        <w:bCs/>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0">
    <w:nsid w:val="32620C09"/>
    <w:multiLevelType w:val="hybridMultilevel"/>
    <w:tmpl w:val="87F433DA"/>
    <w:lvl w:ilvl="0" w:tplc="3906EF2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1">
    <w:nsid w:val="3766C31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B74206B"/>
    <w:multiLevelType w:val="hybridMultilevel"/>
    <w:tmpl w:val="37F4083E"/>
    <w:lvl w:ilvl="0" w:tplc="A27E392A">
      <w:start w:val="1"/>
      <w:numFmt w:val="lowerLetter"/>
      <w:lvlText w:val="%1)"/>
      <w:lvlJc w:val="left"/>
      <w:pPr>
        <w:ind w:left="720" w:hanging="360"/>
      </w:pPr>
      <w:rPr>
        <w:rFonts w:hint="default"/>
        <w:b w:val="0"/>
        <w:bCs/>
        <w:i/>
        <w:iCs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5F5577EF"/>
    <w:multiLevelType w:val="hybridMultilevel"/>
    <w:tmpl w:val="5D0873D2"/>
    <w:lvl w:ilvl="0" w:tplc="1FE8705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4">
    <w:nsid w:val="603B7D7B"/>
    <w:multiLevelType w:val="hybridMultilevel"/>
    <w:tmpl w:val="F6A822E0"/>
    <w:lvl w:ilvl="0" w:tplc="30C69510">
      <w:start w:val="1"/>
      <w:numFmt w:val="lowerLetter"/>
      <w:lvlText w:val="%1)"/>
      <w:lvlJc w:val="left"/>
      <w:pPr>
        <w:ind w:left="720" w:hanging="360"/>
      </w:pPr>
      <w:rPr>
        <w:rFonts w:hint="default"/>
        <w:b w:val="0"/>
        <w:i/>
        <w:u w:val="no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60D04B60"/>
    <w:multiLevelType w:val="hybridMultilevel"/>
    <w:tmpl w:val="5BE6DD3C"/>
    <w:lvl w:ilvl="0" w:tplc="987AE8D8">
      <w:start w:val="1"/>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6">
    <w:nsid w:val="68ED1EC9"/>
    <w:multiLevelType w:val="hybridMultilevel"/>
    <w:tmpl w:val="53EAC9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78CC79BA"/>
    <w:multiLevelType w:val="hybridMultilevel"/>
    <w:tmpl w:val="C980E154"/>
    <w:lvl w:ilvl="0" w:tplc="13B676A2">
      <w:start w:val="1"/>
      <w:numFmt w:val="lowerLetter"/>
      <w:lvlText w:val="%1)"/>
      <w:lvlJc w:val="left"/>
      <w:pPr>
        <w:ind w:left="720" w:hanging="360"/>
      </w:pPr>
      <w:rPr>
        <w:rFonts w:hint="default"/>
        <w:b w:val="0"/>
        <w:bCs/>
        <w:i/>
        <w:i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10"/>
  </w:num>
  <w:num w:numId="3">
    <w:abstractNumId w:val="15"/>
  </w:num>
  <w:num w:numId="4">
    <w:abstractNumId w:val="12"/>
  </w:num>
  <w:num w:numId="5">
    <w:abstractNumId w:val="7"/>
  </w:num>
  <w:num w:numId="6">
    <w:abstractNumId w:val="13"/>
  </w:num>
  <w:num w:numId="7">
    <w:abstractNumId w:val="17"/>
  </w:num>
  <w:num w:numId="8">
    <w:abstractNumId w:val="14"/>
  </w:num>
  <w:num w:numId="9">
    <w:abstractNumId w:val="2"/>
  </w:num>
  <w:num w:numId="10">
    <w:abstractNumId w:val="6"/>
  </w:num>
  <w:num w:numId="11">
    <w:abstractNumId w:val="9"/>
  </w:num>
  <w:num w:numId="12">
    <w:abstractNumId w:val="11"/>
  </w:num>
  <w:num w:numId="13">
    <w:abstractNumId w:val="0"/>
  </w:num>
  <w:num w:numId="14">
    <w:abstractNumId w:val="5"/>
  </w:num>
  <w:num w:numId="15">
    <w:abstractNumId w:val="3"/>
  </w:num>
  <w:num w:numId="16">
    <w:abstractNumId w:val="1"/>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473"/>
    <w:rsid w:val="000136F1"/>
    <w:rsid w:val="00060B0B"/>
    <w:rsid w:val="00065381"/>
    <w:rsid w:val="000C7379"/>
    <w:rsid w:val="0011555E"/>
    <w:rsid w:val="00120268"/>
    <w:rsid w:val="001274F5"/>
    <w:rsid w:val="0013115C"/>
    <w:rsid w:val="0014772E"/>
    <w:rsid w:val="00156188"/>
    <w:rsid w:val="00163ADC"/>
    <w:rsid w:val="001D02A2"/>
    <w:rsid w:val="001F4B3C"/>
    <w:rsid w:val="002017E0"/>
    <w:rsid w:val="00236737"/>
    <w:rsid w:val="00243DCC"/>
    <w:rsid w:val="00250A85"/>
    <w:rsid w:val="002646E4"/>
    <w:rsid w:val="002805AB"/>
    <w:rsid w:val="00287334"/>
    <w:rsid w:val="002B4EE6"/>
    <w:rsid w:val="002C0A00"/>
    <w:rsid w:val="002C1607"/>
    <w:rsid w:val="002D295C"/>
    <w:rsid w:val="002E7071"/>
    <w:rsid w:val="002F2DF5"/>
    <w:rsid w:val="002F66D3"/>
    <w:rsid w:val="0030603A"/>
    <w:rsid w:val="00310C50"/>
    <w:rsid w:val="00326241"/>
    <w:rsid w:val="00350CFD"/>
    <w:rsid w:val="003571BE"/>
    <w:rsid w:val="00357B37"/>
    <w:rsid w:val="00377C88"/>
    <w:rsid w:val="003A6226"/>
    <w:rsid w:val="003A77C8"/>
    <w:rsid w:val="003B4EB6"/>
    <w:rsid w:val="003B6062"/>
    <w:rsid w:val="003C0491"/>
    <w:rsid w:val="003D5154"/>
    <w:rsid w:val="003F497E"/>
    <w:rsid w:val="003F75EF"/>
    <w:rsid w:val="00434060"/>
    <w:rsid w:val="004449F5"/>
    <w:rsid w:val="004503F4"/>
    <w:rsid w:val="00451CB0"/>
    <w:rsid w:val="00471EFE"/>
    <w:rsid w:val="00473E84"/>
    <w:rsid w:val="00487EA5"/>
    <w:rsid w:val="004927D9"/>
    <w:rsid w:val="004A30BB"/>
    <w:rsid w:val="004B4541"/>
    <w:rsid w:val="004B65FD"/>
    <w:rsid w:val="004B6682"/>
    <w:rsid w:val="004F1698"/>
    <w:rsid w:val="004F6DF7"/>
    <w:rsid w:val="00521E65"/>
    <w:rsid w:val="00545543"/>
    <w:rsid w:val="00555029"/>
    <w:rsid w:val="005A3C60"/>
    <w:rsid w:val="005C69CC"/>
    <w:rsid w:val="005C7685"/>
    <w:rsid w:val="005D5063"/>
    <w:rsid w:val="006245F4"/>
    <w:rsid w:val="00644393"/>
    <w:rsid w:val="00644A0D"/>
    <w:rsid w:val="0065481F"/>
    <w:rsid w:val="00683D78"/>
    <w:rsid w:val="00686736"/>
    <w:rsid w:val="006871F6"/>
    <w:rsid w:val="006A156D"/>
    <w:rsid w:val="006A45C6"/>
    <w:rsid w:val="006C4475"/>
    <w:rsid w:val="006D1A20"/>
    <w:rsid w:val="006D37AF"/>
    <w:rsid w:val="006E4098"/>
    <w:rsid w:val="007063D7"/>
    <w:rsid w:val="00707756"/>
    <w:rsid w:val="00710564"/>
    <w:rsid w:val="0071646D"/>
    <w:rsid w:val="0072164C"/>
    <w:rsid w:val="00761256"/>
    <w:rsid w:val="007640A9"/>
    <w:rsid w:val="0077527B"/>
    <w:rsid w:val="007777C3"/>
    <w:rsid w:val="00785ED1"/>
    <w:rsid w:val="007A5DE1"/>
    <w:rsid w:val="007C4268"/>
    <w:rsid w:val="007C5750"/>
    <w:rsid w:val="007C5ABB"/>
    <w:rsid w:val="007D6B3D"/>
    <w:rsid w:val="007E3380"/>
    <w:rsid w:val="007E6E68"/>
    <w:rsid w:val="00801069"/>
    <w:rsid w:val="008061AF"/>
    <w:rsid w:val="00844E8C"/>
    <w:rsid w:val="00846105"/>
    <w:rsid w:val="00853AEE"/>
    <w:rsid w:val="00882584"/>
    <w:rsid w:val="008B72A9"/>
    <w:rsid w:val="008B7F55"/>
    <w:rsid w:val="008C3085"/>
    <w:rsid w:val="008E7984"/>
    <w:rsid w:val="009021A8"/>
    <w:rsid w:val="00915DD7"/>
    <w:rsid w:val="00926B2B"/>
    <w:rsid w:val="00944859"/>
    <w:rsid w:val="009502ED"/>
    <w:rsid w:val="00953F37"/>
    <w:rsid w:val="00964AC6"/>
    <w:rsid w:val="00981138"/>
    <w:rsid w:val="00981B2A"/>
    <w:rsid w:val="00983080"/>
    <w:rsid w:val="0099549F"/>
    <w:rsid w:val="009D4B04"/>
    <w:rsid w:val="009E1F67"/>
    <w:rsid w:val="009E4C89"/>
    <w:rsid w:val="009E7CBE"/>
    <w:rsid w:val="009F6FCE"/>
    <w:rsid w:val="00A10182"/>
    <w:rsid w:val="00A13422"/>
    <w:rsid w:val="00A268D8"/>
    <w:rsid w:val="00A9073C"/>
    <w:rsid w:val="00AA54C6"/>
    <w:rsid w:val="00AA6A1A"/>
    <w:rsid w:val="00AB7456"/>
    <w:rsid w:val="00AC648B"/>
    <w:rsid w:val="00AD19CC"/>
    <w:rsid w:val="00AD209B"/>
    <w:rsid w:val="00AD3CA5"/>
    <w:rsid w:val="00AD7473"/>
    <w:rsid w:val="00AE4ABA"/>
    <w:rsid w:val="00B020BA"/>
    <w:rsid w:val="00B03E69"/>
    <w:rsid w:val="00B15BC0"/>
    <w:rsid w:val="00B1712A"/>
    <w:rsid w:val="00B3475D"/>
    <w:rsid w:val="00B355C0"/>
    <w:rsid w:val="00B45813"/>
    <w:rsid w:val="00B5220B"/>
    <w:rsid w:val="00B52A1F"/>
    <w:rsid w:val="00B61F2E"/>
    <w:rsid w:val="00BA50CB"/>
    <w:rsid w:val="00BA5573"/>
    <w:rsid w:val="00BD1C1B"/>
    <w:rsid w:val="00BD7E01"/>
    <w:rsid w:val="00C168F3"/>
    <w:rsid w:val="00C37D8B"/>
    <w:rsid w:val="00C464D3"/>
    <w:rsid w:val="00C50C38"/>
    <w:rsid w:val="00C659BD"/>
    <w:rsid w:val="00C73A53"/>
    <w:rsid w:val="00C90D9F"/>
    <w:rsid w:val="00CC0878"/>
    <w:rsid w:val="00CC3B24"/>
    <w:rsid w:val="00CD4385"/>
    <w:rsid w:val="00CE3F19"/>
    <w:rsid w:val="00CF1564"/>
    <w:rsid w:val="00CF1E24"/>
    <w:rsid w:val="00CF658A"/>
    <w:rsid w:val="00D07A95"/>
    <w:rsid w:val="00D23CF0"/>
    <w:rsid w:val="00D33457"/>
    <w:rsid w:val="00D34688"/>
    <w:rsid w:val="00D40C4C"/>
    <w:rsid w:val="00D40CD0"/>
    <w:rsid w:val="00D644D6"/>
    <w:rsid w:val="00D662C3"/>
    <w:rsid w:val="00D71193"/>
    <w:rsid w:val="00D73229"/>
    <w:rsid w:val="00D80D90"/>
    <w:rsid w:val="00D9693F"/>
    <w:rsid w:val="00DA27E1"/>
    <w:rsid w:val="00DB6416"/>
    <w:rsid w:val="00DF1574"/>
    <w:rsid w:val="00DF35F9"/>
    <w:rsid w:val="00DF378D"/>
    <w:rsid w:val="00E0354C"/>
    <w:rsid w:val="00E04E6E"/>
    <w:rsid w:val="00E22D0A"/>
    <w:rsid w:val="00E32043"/>
    <w:rsid w:val="00E72EC6"/>
    <w:rsid w:val="00EA216D"/>
    <w:rsid w:val="00EB09E9"/>
    <w:rsid w:val="00EB2267"/>
    <w:rsid w:val="00EC7961"/>
    <w:rsid w:val="00EE5251"/>
    <w:rsid w:val="00F016FE"/>
    <w:rsid w:val="00F14DC4"/>
    <w:rsid w:val="00F27DF7"/>
    <w:rsid w:val="00F32B6B"/>
    <w:rsid w:val="00F36FF6"/>
    <w:rsid w:val="00F515CB"/>
    <w:rsid w:val="00F9068D"/>
    <w:rsid w:val="00FB7DF8"/>
    <w:rsid w:val="00FC7301"/>
    <w:rsid w:val="00FD4DF8"/>
    <w:rsid w:val="00FE1C28"/>
    <w:rsid w:val="00FF1543"/>
    <w:rsid w:val="00FF501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5933C"/>
  <w15:docId w15:val="{041084FE-8BAB-49FD-9617-980E44A8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D764E"/>
    <w:pPr>
      <w:widowControl w:val="0"/>
      <w:spacing w:after="0"/>
      <w:jc w:val="both"/>
      <w:outlineLvl w:val="0"/>
    </w:pPr>
    <w:rPr>
      <w:rFonts w:ascii="Arial" w:eastAsiaTheme="majorEastAsia" w:hAnsi="Arial" w:cstheme="majorBidi"/>
      <w:bCs/>
      <w:szCs w:val="28"/>
      <w:lang w:val="es-ES"/>
    </w:rPr>
  </w:style>
  <w:style w:type="paragraph" w:styleId="Ttulo2">
    <w:name w:val="heading 2"/>
    <w:basedOn w:val="Normal"/>
    <w:next w:val="Normal"/>
    <w:link w:val="Ttulo2Car"/>
    <w:uiPriority w:val="9"/>
    <w:semiHidden/>
    <w:unhideWhenUsed/>
    <w:qFormat/>
    <w:rsid w:val="001822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link w:val="PuestoCar"/>
    <w:uiPriority w:val="10"/>
    <w:qFormat/>
    <w:rsid w:val="00766174"/>
    <w:pPr>
      <w:spacing w:after="0" w:line="240" w:lineRule="auto"/>
      <w:contextualSpacing/>
    </w:pPr>
    <w:rPr>
      <w:rFonts w:asciiTheme="majorHAnsi" w:eastAsiaTheme="majorEastAsia" w:hAnsiTheme="majorHAnsi" w:cstheme="majorBidi"/>
      <w:spacing w:val="-10"/>
      <w:kern w:val="28"/>
      <w:sz w:val="56"/>
      <w:szCs w:val="56"/>
    </w:rPr>
  </w:style>
  <w:style w:type="table" w:styleId="Tablaconcuadrcula">
    <w:name w:val="Table Grid"/>
    <w:basedOn w:val="Tablanormal"/>
    <w:uiPriority w:val="59"/>
    <w:rsid w:val="001352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520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20CD"/>
    <w:rPr>
      <w:rFonts w:ascii="Tahoma" w:hAnsi="Tahoma" w:cs="Tahoma"/>
      <w:sz w:val="16"/>
      <w:szCs w:val="16"/>
    </w:rPr>
  </w:style>
  <w:style w:type="character" w:styleId="Refdecomentario">
    <w:name w:val="annotation reference"/>
    <w:basedOn w:val="Fuentedeprrafopredeter"/>
    <w:uiPriority w:val="99"/>
    <w:semiHidden/>
    <w:unhideWhenUsed/>
    <w:rsid w:val="00A32778"/>
    <w:rPr>
      <w:sz w:val="16"/>
      <w:szCs w:val="16"/>
    </w:rPr>
  </w:style>
  <w:style w:type="paragraph" w:styleId="Textocomentario">
    <w:name w:val="annotation text"/>
    <w:basedOn w:val="Normal"/>
    <w:link w:val="TextocomentarioCar"/>
    <w:uiPriority w:val="99"/>
    <w:unhideWhenUsed/>
    <w:rsid w:val="00A32778"/>
    <w:pPr>
      <w:spacing w:line="240" w:lineRule="auto"/>
    </w:pPr>
    <w:rPr>
      <w:sz w:val="20"/>
      <w:szCs w:val="20"/>
    </w:rPr>
  </w:style>
  <w:style w:type="character" w:customStyle="1" w:styleId="TextocomentarioCar">
    <w:name w:val="Texto comentario Car"/>
    <w:basedOn w:val="Fuentedeprrafopredeter"/>
    <w:link w:val="Textocomentario"/>
    <w:uiPriority w:val="99"/>
    <w:rsid w:val="00A32778"/>
    <w:rPr>
      <w:sz w:val="20"/>
      <w:szCs w:val="20"/>
    </w:rPr>
  </w:style>
  <w:style w:type="paragraph" w:styleId="Asuntodelcomentario">
    <w:name w:val="annotation subject"/>
    <w:basedOn w:val="Textocomentario"/>
    <w:next w:val="Textocomentario"/>
    <w:link w:val="AsuntodelcomentarioCar"/>
    <w:uiPriority w:val="99"/>
    <w:semiHidden/>
    <w:unhideWhenUsed/>
    <w:rsid w:val="00A32778"/>
    <w:rPr>
      <w:b/>
      <w:bCs/>
    </w:rPr>
  </w:style>
  <w:style w:type="character" w:customStyle="1" w:styleId="AsuntodelcomentarioCar">
    <w:name w:val="Asunto del comentario Car"/>
    <w:basedOn w:val="TextocomentarioCar"/>
    <w:link w:val="Asuntodelcomentario"/>
    <w:uiPriority w:val="99"/>
    <w:semiHidden/>
    <w:rsid w:val="00A32778"/>
    <w:rPr>
      <w:b/>
      <w:bCs/>
      <w:sz w:val="20"/>
      <w:szCs w:val="20"/>
    </w:rPr>
  </w:style>
  <w:style w:type="paragraph" w:styleId="NormalWeb">
    <w:name w:val="Normal (Web)"/>
    <w:basedOn w:val="Normal"/>
    <w:uiPriority w:val="99"/>
    <w:semiHidden/>
    <w:unhideWhenUsed/>
    <w:rsid w:val="00BA281D"/>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6938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3842"/>
  </w:style>
  <w:style w:type="paragraph" w:styleId="Piedepgina">
    <w:name w:val="footer"/>
    <w:basedOn w:val="Normal"/>
    <w:link w:val="PiedepginaCar"/>
    <w:uiPriority w:val="99"/>
    <w:unhideWhenUsed/>
    <w:rsid w:val="006938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3842"/>
  </w:style>
  <w:style w:type="paragraph" w:styleId="Prrafodelista">
    <w:name w:val="List Paragraph"/>
    <w:aliases w:val="fuente,viñeta,lista,Viñeta A Alquim,Viñeta A,Título Tablas y Figuras,Avenir,TITULO 1,Normal con Número,Normal con viñeta,viñeta proust,corp de texte,Listado,Tablas,0_Párrafo de lista,importante,Pie,Scrinser,bis,Viñetas,arial,viñeta OK"/>
    <w:basedOn w:val="Normal"/>
    <w:link w:val="PrrafodelistaCar"/>
    <w:uiPriority w:val="34"/>
    <w:qFormat/>
    <w:rsid w:val="006976FA"/>
    <w:pPr>
      <w:ind w:left="720"/>
      <w:contextualSpacing/>
    </w:pPr>
  </w:style>
  <w:style w:type="paragraph" w:styleId="Revisin">
    <w:name w:val="Revision"/>
    <w:hidden/>
    <w:uiPriority w:val="99"/>
    <w:semiHidden/>
    <w:rsid w:val="004E7815"/>
    <w:pPr>
      <w:spacing w:after="0" w:line="240" w:lineRule="auto"/>
    </w:pPr>
  </w:style>
  <w:style w:type="character" w:customStyle="1" w:styleId="PrrafodelistaCar">
    <w:name w:val="Párrafo de lista Car"/>
    <w:aliases w:val="fuente Car,viñeta Car,lista Car,Viñeta A Alquim Car,Viñeta A Car,Título Tablas y Figuras Car,Avenir Car,TITULO 1 Car,Normal con Número Car,Normal con viñeta Car,viñeta proust Car,corp de texte Car,Listado Car,Tablas Car,Pie Car"/>
    <w:basedOn w:val="Fuentedeprrafopredeter"/>
    <w:link w:val="Prrafodelista"/>
    <w:uiPriority w:val="34"/>
    <w:locked/>
    <w:rsid w:val="000303CE"/>
  </w:style>
  <w:style w:type="character" w:customStyle="1" w:styleId="Ttulo1Car">
    <w:name w:val="Título 1 Car"/>
    <w:basedOn w:val="Fuentedeprrafopredeter"/>
    <w:link w:val="Ttulo1"/>
    <w:uiPriority w:val="9"/>
    <w:rsid w:val="00FD764E"/>
    <w:rPr>
      <w:rFonts w:ascii="Arial" w:eastAsiaTheme="majorEastAsia" w:hAnsi="Arial" w:cstheme="majorBidi"/>
      <w:bCs/>
      <w:szCs w:val="28"/>
      <w:lang w:val="es-ES"/>
    </w:rPr>
  </w:style>
  <w:style w:type="paragraph" w:customStyle="1" w:styleId="Vistos">
    <w:name w:val="Vistos"/>
    <w:basedOn w:val="Puesto"/>
    <w:link w:val="VistosCar"/>
    <w:uiPriority w:val="99"/>
    <w:rsid w:val="00766174"/>
    <w:pPr>
      <w:spacing w:before="240" w:after="240"/>
      <w:ind w:left="3540"/>
      <w:contextualSpacing w:val="0"/>
      <w:jc w:val="both"/>
      <w:outlineLvl w:val="0"/>
    </w:pPr>
    <w:rPr>
      <w:rFonts w:ascii="Times New Roman" w:eastAsia="MS Mincho" w:hAnsi="Times New Roman" w:cs="Times New Roman"/>
      <w:spacing w:val="0"/>
      <w:sz w:val="24"/>
      <w:szCs w:val="24"/>
      <w:lang w:val="es-ES_tradnl"/>
    </w:rPr>
  </w:style>
  <w:style w:type="character" w:customStyle="1" w:styleId="VistosCar">
    <w:name w:val="Vistos Car"/>
    <w:link w:val="Vistos"/>
    <w:uiPriority w:val="99"/>
    <w:locked/>
    <w:rsid w:val="00766174"/>
    <w:rPr>
      <w:rFonts w:ascii="Times New Roman" w:eastAsia="MS Mincho" w:hAnsi="Times New Roman" w:cs="Times New Roman"/>
      <w:kern w:val="28"/>
      <w:sz w:val="24"/>
      <w:szCs w:val="24"/>
      <w:lang w:val="es-ES_tradnl"/>
    </w:rPr>
  </w:style>
  <w:style w:type="character" w:customStyle="1" w:styleId="PuestoCar">
    <w:name w:val="Puesto Car"/>
    <w:basedOn w:val="Fuentedeprrafopredeter"/>
    <w:link w:val="Puesto"/>
    <w:uiPriority w:val="10"/>
    <w:rsid w:val="00766174"/>
    <w:rPr>
      <w:rFonts w:asciiTheme="majorHAnsi" w:eastAsiaTheme="majorEastAsia" w:hAnsiTheme="majorHAnsi" w:cstheme="majorBidi"/>
      <w:spacing w:val="-10"/>
      <w:kern w:val="28"/>
      <w:sz w:val="56"/>
      <w:szCs w:val="56"/>
    </w:rPr>
  </w:style>
  <w:style w:type="paragraph" w:customStyle="1" w:styleId="Pa12">
    <w:name w:val="Pa12"/>
    <w:basedOn w:val="Normal"/>
    <w:next w:val="Normal"/>
    <w:uiPriority w:val="99"/>
    <w:rsid w:val="00340D94"/>
    <w:pPr>
      <w:autoSpaceDE w:val="0"/>
      <w:autoSpaceDN w:val="0"/>
      <w:adjustRightInd w:val="0"/>
      <w:spacing w:after="0" w:line="221" w:lineRule="atLeast"/>
    </w:pPr>
    <w:rPr>
      <w:rFonts w:ascii="Times New Roman" w:hAnsi="Times New Roman" w:cs="Times New Roman"/>
      <w:sz w:val="24"/>
      <w:szCs w:val="24"/>
    </w:rPr>
  </w:style>
  <w:style w:type="paragraph" w:styleId="Descripcin">
    <w:name w:val="caption"/>
    <w:basedOn w:val="Normal"/>
    <w:next w:val="Normal"/>
    <w:link w:val="DescripcinCar"/>
    <w:uiPriority w:val="35"/>
    <w:unhideWhenUsed/>
    <w:qFormat/>
    <w:rsid w:val="00784A03"/>
    <w:pPr>
      <w:spacing w:line="240" w:lineRule="auto"/>
    </w:pPr>
    <w:rPr>
      <w:i/>
      <w:iCs/>
      <w:color w:val="1F497D" w:themeColor="text2"/>
      <w:sz w:val="18"/>
      <w:szCs w:val="18"/>
    </w:rPr>
  </w:style>
  <w:style w:type="character" w:customStyle="1" w:styleId="Ttulo2Car">
    <w:name w:val="Título 2 Car"/>
    <w:basedOn w:val="Fuentedeprrafopredeter"/>
    <w:link w:val="Ttulo2"/>
    <w:uiPriority w:val="9"/>
    <w:semiHidden/>
    <w:rsid w:val="0018222C"/>
    <w:rPr>
      <w:rFonts w:asciiTheme="majorHAnsi" w:eastAsiaTheme="majorEastAsia" w:hAnsiTheme="majorHAnsi" w:cstheme="majorBidi"/>
      <w:color w:val="365F91" w:themeColor="accent1" w:themeShade="BF"/>
      <w:sz w:val="26"/>
      <w:szCs w:val="26"/>
    </w:rPr>
  </w:style>
  <w:style w:type="paragraph" w:styleId="Sinespaciado">
    <w:name w:val="No Spacing"/>
    <w:basedOn w:val="Normal"/>
    <w:autoRedefine/>
    <w:uiPriority w:val="1"/>
    <w:qFormat/>
    <w:rsid w:val="00464184"/>
    <w:pPr>
      <w:spacing w:after="0"/>
      <w:jc w:val="both"/>
    </w:pPr>
    <w:rPr>
      <w:rFonts w:ascii="Arial" w:eastAsia="Times New Roman" w:hAnsi="Arial" w:cs="Arial"/>
      <w:b/>
      <w:color w:val="000000"/>
      <w:u w:val="single"/>
      <w:lang w:val="es-ES_tradnl"/>
    </w:rPr>
  </w:style>
  <w:style w:type="paragraph" w:styleId="Textonotapie">
    <w:name w:val="footnote text"/>
    <w:basedOn w:val="Normal"/>
    <w:link w:val="TextonotapieCar"/>
    <w:uiPriority w:val="99"/>
    <w:semiHidden/>
    <w:unhideWhenUsed/>
    <w:rsid w:val="00E567A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567A3"/>
    <w:rPr>
      <w:sz w:val="20"/>
      <w:szCs w:val="20"/>
    </w:rPr>
  </w:style>
  <w:style w:type="character" w:styleId="Refdenotaalpie">
    <w:name w:val="footnote reference"/>
    <w:basedOn w:val="Fuentedeprrafopredeter"/>
    <w:uiPriority w:val="99"/>
    <w:semiHidden/>
    <w:unhideWhenUsed/>
    <w:rsid w:val="00E567A3"/>
    <w:rPr>
      <w:vertAlign w:val="superscript"/>
    </w:rPr>
  </w:style>
  <w:style w:type="character" w:customStyle="1" w:styleId="A2">
    <w:name w:val="A2"/>
    <w:uiPriority w:val="99"/>
    <w:rsid w:val="0078122F"/>
    <w:rPr>
      <w:color w:val="000000"/>
    </w:rPr>
  </w:style>
  <w:style w:type="paragraph" w:customStyle="1" w:styleId="Default">
    <w:name w:val="Default"/>
    <w:rsid w:val="00AD25EB"/>
    <w:pPr>
      <w:autoSpaceDE w:val="0"/>
      <w:autoSpaceDN w:val="0"/>
      <w:adjustRightInd w:val="0"/>
      <w:spacing w:after="0" w:line="240" w:lineRule="auto"/>
    </w:pPr>
    <w:rPr>
      <w:rFonts w:ascii="Verdana" w:hAnsi="Verdana" w:cs="Verdana"/>
      <w:color w:val="000000"/>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57" w:type="dxa"/>
        <w:bottom w:w="0" w:type="dxa"/>
        <w:right w:w="57" w:type="dxa"/>
      </w:tblCellMar>
    </w:tblPr>
  </w:style>
  <w:style w:type="paragraph" w:customStyle="1" w:styleId="Ilustracin">
    <w:name w:val="Ilustración"/>
    <w:basedOn w:val="Descripcin"/>
    <w:link w:val="IlustracinCar"/>
    <w:qFormat/>
    <w:rsid w:val="00120268"/>
    <w:pPr>
      <w:jc w:val="center"/>
    </w:pPr>
    <w:rPr>
      <w:rFonts w:ascii="Arial Narrow" w:hAnsi="Arial Narrow"/>
      <w:i w:val="0"/>
      <w:color w:val="000000" w:themeColor="text1"/>
      <w:sz w:val="20"/>
    </w:rPr>
  </w:style>
  <w:style w:type="character" w:customStyle="1" w:styleId="DescripcinCar">
    <w:name w:val="Descripción Car"/>
    <w:basedOn w:val="Fuentedeprrafopredeter"/>
    <w:link w:val="Descripcin"/>
    <w:uiPriority w:val="35"/>
    <w:rsid w:val="00120268"/>
    <w:rPr>
      <w:i/>
      <w:iCs/>
      <w:color w:val="1F497D" w:themeColor="text2"/>
      <w:sz w:val="18"/>
      <w:szCs w:val="18"/>
    </w:rPr>
  </w:style>
  <w:style w:type="character" w:customStyle="1" w:styleId="IlustracinCar">
    <w:name w:val="Ilustración Car"/>
    <w:basedOn w:val="DescripcinCar"/>
    <w:link w:val="Ilustracin"/>
    <w:rsid w:val="00120268"/>
    <w:rPr>
      <w:rFonts w:ascii="Arial Narrow" w:hAnsi="Arial Narrow"/>
      <w:i w:val="0"/>
      <w:iCs/>
      <w:color w:val="000000" w:themeColor="text1"/>
      <w:sz w:val="20"/>
      <w:szCs w:val="18"/>
    </w:rPr>
  </w:style>
  <w:style w:type="character" w:styleId="Hipervnculo">
    <w:name w:val="Hyperlink"/>
    <w:basedOn w:val="Fuentedeprrafopredeter"/>
    <w:uiPriority w:val="99"/>
    <w:unhideWhenUsed/>
    <w:rsid w:val="009D4B04"/>
    <w:rPr>
      <w:color w:val="0000FF" w:themeColor="hyperlink"/>
      <w:u w:val="single"/>
    </w:rPr>
  </w:style>
  <w:style w:type="character" w:customStyle="1" w:styleId="UnresolvedMention">
    <w:name w:val="Unresolved Mention"/>
    <w:basedOn w:val="Fuentedeprrafopredeter"/>
    <w:uiPriority w:val="99"/>
    <w:semiHidden/>
    <w:unhideWhenUsed/>
    <w:rsid w:val="009D4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092">
      <w:bodyDiv w:val="1"/>
      <w:marLeft w:val="0"/>
      <w:marRight w:val="0"/>
      <w:marTop w:val="0"/>
      <w:marBottom w:val="0"/>
      <w:divBdr>
        <w:top w:val="none" w:sz="0" w:space="0" w:color="auto"/>
        <w:left w:val="none" w:sz="0" w:space="0" w:color="auto"/>
        <w:bottom w:val="none" w:sz="0" w:space="0" w:color="auto"/>
        <w:right w:val="none" w:sz="0" w:space="0" w:color="auto"/>
      </w:divBdr>
    </w:div>
    <w:div w:id="15156705">
      <w:bodyDiv w:val="1"/>
      <w:marLeft w:val="0"/>
      <w:marRight w:val="0"/>
      <w:marTop w:val="0"/>
      <w:marBottom w:val="0"/>
      <w:divBdr>
        <w:top w:val="none" w:sz="0" w:space="0" w:color="auto"/>
        <w:left w:val="none" w:sz="0" w:space="0" w:color="auto"/>
        <w:bottom w:val="none" w:sz="0" w:space="0" w:color="auto"/>
        <w:right w:val="none" w:sz="0" w:space="0" w:color="auto"/>
      </w:divBdr>
    </w:div>
    <w:div w:id="786199526">
      <w:bodyDiv w:val="1"/>
      <w:marLeft w:val="0"/>
      <w:marRight w:val="0"/>
      <w:marTop w:val="0"/>
      <w:marBottom w:val="0"/>
      <w:divBdr>
        <w:top w:val="none" w:sz="0" w:space="0" w:color="auto"/>
        <w:left w:val="none" w:sz="0" w:space="0" w:color="auto"/>
        <w:bottom w:val="none" w:sz="0" w:space="0" w:color="auto"/>
        <w:right w:val="none" w:sz="0" w:space="0" w:color="auto"/>
      </w:divBdr>
    </w:div>
    <w:div w:id="871572783">
      <w:bodyDiv w:val="1"/>
      <w:marLeft w:val="0"/>
      <w:marRight w:val="0"/>
      <w:marTop w:val="0"/>
      <w:marBottom w:val="0"/>
      <w:divBdr>
        <w:top w:val="none" w:sz="0" w:space="0" w:color="auto"/>
        <w:left w:val="none" w:sz="0" w:space="0" w:color="auto"/>
        <w:bottom w:val="none" w:sz="0" w:space="0" w:color="auto"/>
        <w:right w:val="none" w:sz="0" w:space="0" w:color="auto"/>
      </w:divBdr>
    </w:div>
    <w:div w:id="915552438">
      <w:bodyDiv w:val="1"/>
      <w:marLeft w:val="0"/>
      <w:marRight w:val="0"/>
      <w:marTop w:val="0"/>
      <w:marBottom w:val="0"/>
      <w:divBdr>
        <w:top w:val="none" w:sz="0" w:space="0" w:color="auto"/>
        <w:left w:val="none" w:sz="0" w:space="0" w:color="auto"/>
        <w:bottom w:val="none" w:sz="0" w:space="0" w:color="auto"/>
        <w:right w:val="none" w:sz="0" w:space="0" w:color="auto"/>
      </w:divBdr>
    </w:div>
    <w:div w:id="946081771">
      <w:bodyDiv w:val="1"/>
      <w:marLeft w:val="0"/>
      <w:marRight w:val="0"/>
      <w:marTop w:val="0"/>
      <w:marBottom w:val="0"/>
      <w:divBdr>
        <w:top w:val="none" w:sz="0" w:space="0" w:color="auto"/>
        <w:left w:val="none" w:sz="0" w:space="0" w:color="auto"/>
        <w:bottom w:val="none" w:sz="0" w:space="0" w:color="auto"/>
        <w:right w:val="none" w:sz="0" w:space="0" w:color="auto"/>
      </w:divBdr>
    </w:div>
    <w:div w:id="1593972813">
      <w:bodyDiv w:val="1"/>
      <w:marLeft w:val="0"/>
      <w:marRight w:val="0"/>
      <w:marTop w:val="0"/>
      <w:marBottom w:val="0"/>
      <w:divBdr>
        <w:top w:val="none" w:sz="0" w:space="0" w:color="auto"/>
        <w:left w:val="none" w:sz="0" w:space="0" w:color="auto"/>
        <w:bottom w:val="none" w:sz="0" w:space="0" w:color="auto"/>
        <w:right w:val="none" w:sz="0" w:space="0" w:color="auto"/>
      </w:divBdr>
    </w:div>
    <w:div w:id="1990204254">
      <w:bodyDiv w:val="1"/>
      <w:marLeft w:val="0"/>
      <w:marRight w:val="0"/>
      <w:marTop w:val="0"/>
      <w:marBottom w:val="0"/>
      <w:divBdr>
        <w:top w:val="none" w:sz="0" w:space="0" w:color="auto"/>
        <w:left w:val="none" w:sz="0" w:space="0" w:color="auto"/>
        <w:bottom w:val="none" w:sz="0" w:space="0" w:color="auto"/>
        <w:right w:val="none" w:sz="0" w:space="0" w:color="auto"/>
      </w:divBdr>
    </w:div>
    <w:div w:id="1990279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7dLrYUasKgqmfAjbdsYXUcBeXA==">CgMxLjAyCGguZ2pkZ3hzMgloLjMwajB6bGw4AHIhMU9HQS1XQ1VLRF82X1ZmNmU5QzY3NVFLYkdfcVJOY0g2</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o" ma:contentTypeID="0x010100878010DF0EB2314DB7308B337B5DAD1D" ma:contentTypeVersion="5" ma:contentTypeDescription="Crear nuevo documento." ma:contentTypeScope="" ma:versionID="9339449c61e8e66abc18085d65e8cf4c">
  <xsd:schema xmlns:xsd="http://www.w3.org/2001/XMLSchema" xmlns:xs="http://www.w3.org/2001/XMLSchema" xmlns:p="http://schemas.microsoft.com/office/2006/metadata/properties" xmlns:ns3="1b1c5efd-716e-4ce6-a01d-e1576278e8c3" targetNamespace="http://schemas.microsoft.com/office/2006/metadata/properties" ma:root="true" ma:fieldsID="c62a4bb8f6a41b4461d992c2c5e8487d" ns3:_="">
    <xsd:import namespace="1b1c5efd-716e-4ce6-a01d-e1576278e8c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c5efd-716e-4ce6-a01d-e1576278e8c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7FB88-A402-4EB2-8864-1FAF8102F438}">
  <ds:schemaRefs>
    <ds:schemaRef ds:uri="http://schemas.microsoft.com/sharepoint/v3/contenttype/forms"/>
  </ds:schemaRefs>
</ds:datastoreItem>
</file>

<file path=customXml/itemProps2.xml><?xml version="1.0" encoding="utf-8"?>
<ds:datastoreItem xmlns:ds="http://schemas.openxmlformats.org/officeDocument/2006/customXml" ds:itemID="{34A5BC50-8309-4FBA-BF75-8E3DD27076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A963AE3-DE91-4C1B-A516-7245DC70A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c5efd-716e-4ce6-a01d-e1576278e8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90E56C-3040-4756-A30E-00F3E8DA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Pages>
  <Words>1081</Words>
  <Characters>5948</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Dimter Campos (CCOP)</dc:creator>
  <cp:lastModifiedBy>Marcela Aravena Garrido (Dirplan)</cp:lastModifiedBy>
  <cp:revision>4</cp:revision>
  <dcterms:created xsi:type="dcterms:W3CDTF">2026-01-14T21:02:00Z</dcterms:created>
  <dcterms:modified xsi:type="dcterms:W3CDTF">2026-01-15T21:39:00Z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0x010100878010DF0EB2314DB7308B337B5DAD1D</vt:lpwstr>
  </property>
</Properties>
</file>